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7740"/>
        <w:gridCol w:w="3400"/>
      </w:tblGrid>
      <w:tr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  <w:shd w:fill="0E3D3A" w:color="auto" w:val="clear"/>
            <w:tcMar>
              <w:top w:type="dxa" w:w="380"/>
              <w:left w:type="dxa" w:w="700"/>
              <w:bottom w:type="dxa" w:w="360"/>
              <w:right w:type="dxa" w:w="0"/>
            </w:tcMar>
            <w:vAlign w:val="center"/>
          </w:tcPr>
          <w:p>
            <w:pPr>
              <w:jc w:val="left"/>
            </w:pPr>
            <w:r>
              <w:rPr>
                <w:rFonts w:ascii="Georgia" w:cs="Georgia" w:eastAsia="Georgia" w:hAnsi="Georgia"/>
                <w:b/>
                <w:bCs/>
                <w:color w:val="3AA99A"/>
                <w:sz w:val="60"/>
                <w:szCs w:val="60"/>
              </w:rPr>
              <w:t xml:space="preserve">℞</w:t>
            </w:r>
          </w:p>
        </w:tc>
        <w:tc>
          <w:tcPr>
            <w:tcW w:type="dxa" w:w="7740"/>
            <w:tcBorders>
              <w:top w:val="none"/>
              <w:left w:val="none"/>
              <w:bottom w:val="none"/>
              <w:right w:val="none"/>
            </w:tcBorders>
            <w:shd w:fill="0E3D3A" w:color="auto" w:val="clear"/>
            <w:tcMar>
              <w:top w:type="dxa" w:w="380"/>
              <w:left w:type="dxa" w:w="180"/>
              <w:bottom w:type="dxa" w:w="36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73C8BB"/>
                <w:spacing w:val="3"/>
                <w:sz w:val="15"/>
                <w:szCs w:val="15"/>
              </w:rPr>
              <w:t xml:space="preserve">CLINICAL PHARMACIST · PHARMD, BCPS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57"/>
                <w:szCs w:val="57"/>
              </w:rPr>
              <w:t xml:space="preserve">Samuel Adeyemi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shd w:fill="0E3D3A" w:color="auto" w:val="clear"/>
            <w:tcMar>
              <w:top w:type="dxa" w:w="380"/>
              <w:left w:type="dxa" w:w="60"/>
              <w:bottom w:type="dxa" w:w="38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9BC0BA"/>
                <w:sz w:val="17"/>
                <w:szCs w:val="17"/>
              </w:rPr>
              <w:t xml:space="preserve">Rochester, MN</w:t>
            </w:r>
            <w:r>
              <w:rPr>
                <w:rFonts w:ascii="Calibri" w:cs="Calibri" w:eastAsia="Calibri" w:hAnsi="Calibri"/>
                <w:color w:val="9BC0BA"/>
                <w:sz w:val="17"/>
                <w:szCs w:val="17"/>
              </w:rPr>
              <w:br/>
              <w:t xml:space="preserve">(507)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hs3w4uoxecj13ydgip66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s.adeyemi@email.com</w:t>
              </w:r>
            </w:hyperlink>
            <w:r>
              <w:rPr>
                <w:rFonts w:ascii="Calibri" w:cs="Calibri" w:eastAsia="Calibri" w:hAnsi="Calibri"/>
                <w:color w:val="9BC0BA"/>
                <w:sz w:val="17"/>
                <w:szCs w:val="17"/>
              </w:rPr>
              <w:br/>
              <w:t xml:space="preserve">in/samueladeyemi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3424F"/>
          <w:sz w:val="20"/>
          <w:szCs w:val="20"/>
        </w:rPr>
        <w:t xml:space="preserve">Board-certified clinical pharmacist embedded with the care team at the bedside. Eight years rounding with physicians, optimizing pharmacotherapy, and managing complex dosing — anticoagulation, antimicrobial stewardship, and renal/hepatic adjustment. PGY1-trained and driven by safe, evidence-based outcomes.</w:t>
      </w: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93"/>
        <w:gridCol w:w="180"/>
        <w:gridCol w:w="3493"/>
        <w:gridCol w:w="180"/>
        <w:gridCol w:w="3494"/>
      </w:tblGrid>
      <w:tr>
        <w:tc>
          <w:tcPr>
            <w:tcW w:type="dxa" w:w="3493"/>
            <w:tcBorders>
              <w:top w:val="single" w:color="D2E6E2" w:sz="4"/>
              <w:left w:val="single" w:color="D2E6E2" w:sz="4"/>
              <w:bottom w:val="single" w:color="D2E6E2" w:sz="4"/>
              <w:right w:val="single" w:color="D2E6E2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48578"/>
                <w:sz w:val="30"/>
                <w:szCs w:val="30"/>
              </w:rPr>
              <w:t xml:space="preserve">2,400+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938E"/>
                <w:spacing w:val="2"/>
                <w:sz w:val="13"/>
                <w:szCs w:val="13"/>
              </w:rPr>
              <w:t xml:space="preserve">INTERVENTIONS / YR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D2E6E2" w:sz="4"/>
              <w:left w:val="single" w:color="D2E6E2" w:sz="4"/>
              <w:bottom w:val="single" w:color="D2E6E2" w:sz="4"/>
              <w:right w:val="single" w:color="D2E6E2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48578"/>
                <w:sz w:val="30"/>
                <w:szCs w:val="30"/>
              </w:rPr>
              <w:t xml:space="preserve">−28%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938E"/>
                <w:spacing w:val="2"/>
                <w:sz w:val="13"/>
                <w:szCs w:val="13"/>
              </w:rPr>
              <w:t xml:space="preserve">ADVERSE DRUG EVENTS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D2E6E2" w:sz="4"/>
              <w:left w:val="single" w:color="D2E6E2" w:sz="4"/>
              <w:bottom w:val="single" w:color="D2E6E2" w:sz="4"/>
              <w:right w:val="single" w:color="D2E6E2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48578"/>
                <w:sz w:val="30"/>
                <w:szCs w:val="30"/>
              </w:rPr>
              <w:t xml:space="preserve">PGY1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938E"/>
                <w:spacing w:val="2"/>
                <w:sz w:val="13"/>
                <w:szCs w:val="13"/>
              </w:rPr>
              <w:t xml:space="preserve">RESIDENCY TRAINED</w:t>
            </w:r>
          </w:p>
        </w:tc>
      </w:tr>
    </w:tbl>
    <w:p>
      <w:pPr>
        <w:spacing w:after="180"/>
        <w:ind w:left="700" w:right="700"/>
      </w:pPr>
    </w:p>
    <w:p>
      <w:pPr>
        <w:pBdr>
          <w:bottom w:val="single" w:color="3AA99A" w:sz="12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103D38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D38"/>
                <w:sz w:val="20"/>
                <w:szCs w:val="20"/>
              </w:rPr>
              <w:t xml:space="preserve">Clinical Pharmacist, Internal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8A3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578"/>
          <w:sz w:val="18"/>
          <w:szCs w:val="18"/>
        </w:rPr>
        <w:t xml:space="preserve">Mayo Clinic — Rochester, MN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Round daily with the medical team; provide 2,400+ pharmacotherapy interventions per year.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Lead antimicrobial stewardship and anticoagulation dosing, cutting adverse drug events 28%.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Precept PharmD students and PGY1 residents; deliver clinical in-services.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D38"/>
                <w:sz w:val="20"/>
                <w:szCs w:val="20"/>
              </w:rPr>
              <w:t xml:space="preserve">Inpatient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8A3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578"/>
          <w:sz w:val="18"/>
          <w:szCs w:val="18"/>
        </w:rPr>
        <w:t xml:space="preserve">Cleveland Clinic — Cleveland,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Verified orders and managed dosing in Epic Willow across med-surg and ICU units.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Supported code response and pharmacokinetic consults.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D38"/>
                <w:sz w:val="20"/>
                <w:szCs w:val="20"/>
              </w:rPr>
              <w:t xml:space="preserve">PGY1 Pharmacy 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8A3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578"/>
          <w:sz w:val="18"/>
          <w:szCs w:val="18"/>
        </w:rPr>
        <w:t xml:space="preserve">Ohio State Wexner Medical Center — Columbus,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Completed rotations across critical care, ID, and ambulatory care; earned BCPS.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1ECE9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1ECE9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3AA99A"/>
                <w:spacing w:val="3"/>
                <w:sz w:val="14"/>
                <w:szCs w:val="14"/>
              </w:rPr>
              <w:t xml:space="preserve">CLINICAL 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Pharmacotherapy · Antimicrobial Stewardship · Anticoagulation · Pharmacokinetics · Epic Willow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3AA99A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03D38"/>
                <w:sz w:val="18"/>
                <w:szCs w:val="18"/>
              </w:rPr>
              <w:t xml:space="preserve">PharmD — Univ. of Michigan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73908B"/>
                <w:sz w:val="17"/>
                <w:szCs w:val="17"/>
              </w:rPr>
              <w:t xml:space="preserve">RPh (MN) · BCPS · PGY1 Residency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2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hs3w4uoxecj13ydgip66" Type="http://schemas.openxmlformats.org/officeDocument/2006/relationships/hyperlink" Target="mailto:s.adeyem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2026-06-21T00:23:09.307Z</dcterms:created>
  <dcterms:modified xsi:type="dcterms:W3CDTF">2026-06-21T00:23:09.307Z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