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16243A" w:color="auto" w:val="clear"/>
            <w:tcMar>
              <w:top w:type="dxa" w:w="380"/>
              <w:left w:type="dxa" w:w="700"/>
              <w:bottom w:type="dxa" w:w="330"/>
              <w:right w:type="dxa" w:w="6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f9d6a"/>
                <w:spacing w:val="2"/>
                <w:sz w:val="15"/>
                <w:szCs w:val="15"/>
              </w:rPr>
              <w:t xml:space="preserve">SPORTS PHYSICAL THERAPIST · DPT, SCS, CSCS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56"/>
                <w:szCs w:val="56"/>
              </w:rPr>
              <w:t xml:space="preserve">Brittany Sasaki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16243A" w:color="auto" w:val="clear"/>
            <w:tcMar>
              <w:top w:type="dxa" w:w="380"/>
              <w:left w:type="dxa" w:w="60"/>
              <w:bottom w:type="dxa" w:w="35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br/>
              <w:t xml:space="preserve">(310)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zryrxiwhrb77quav7oat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b.sasaki@email.com</w:t>
              </w:r>
            </w:hyperlink>
            <w:r>
              <w:rPr>
                <w:rFonts w:ascii="Calibri" w:cs="Calibri" w:eastAsia="Calibri" w:hAnsi="Calibri"/>
                <w:color w:val="A7B0BD"/>
                <w:sz w:val="17"/>
                <w:szCs w:val="17"/>
              </w:rPr>
              <w:br/>
              <w:t xml:space="preserve">in/brittanysasaki</w:t>
            </w:r>
          </w:p>
        </w:tc>
      </w:tr>
    </w:tbl>
    <w:p>
      <w:pPr>
        <w:spacing w:after="170" w:before="240"/>
        <w:ind w:left="700" w:right="700"/>
      </w:pPr>
      <w:r>
        <w:rPr>
          <w:rFonts w:ascii="Calibri" w:cs="Calibri" w:eastAsia="Calibri" w:hAnsi="Calibri"/>
          <w:color w:val="3E3329"/>
          <w:sz w:val="20"/>
          <w:szCs w:val="20"/>
        </w:rPr>
        <w:t xml:space="preserve">Sports physical therapist who returns athletes to play stronger than before injury. Eight years rehabbing ACL reconstructions, overhead-throwing shoulders, and overuse injuries — blending manual therapy with sports-performance training. I build criteria-based progressions and clear the athlete only when the data says go.</w:t>
      </w:r>
    </w:p>
    <w:tbl>
      <w:tblPr>
        <w:tblW w:type="dxa" w:w="10840"/>
        <w:tblInd w:type="dxa" w:w="700"/>
        <w:tblBorders>
          <w:top w:val="single" w:color="fae3d4" w:sz="4"/>
          <w:left w:val="single" w:color="fae3d4" w:sz="4"/>
          <w:bottom w:val="single" w:color="fae3d4" w:sz="4"/>
          <w:right w:val="single" w:color="fae3d4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60"/>
              <w:bottom w:type="dxa" w:w="17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92"/>
              <w:gridCol w:w="4128"/>
            </w:tblGrid>
            <w:tr>
              <w:tc>
                <w:tcPr>
                  <w:tcW w:type="dxa" w:w="61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C2611F"/>
                      <w:spacing w:val="2"/>
                      <w:sz w:val="14"/>
                      <w:szCs w:val="14"/>
                    </w:rPr>
                    <w:t xml:space="preserve">RETURN-TO-SPORT — FUNCTION % BY WEEK</w:t>
                  </w:r>
                </w:p>
              </w:tc>
              <w:tc>
                <w:tcPr>
                  <w:tcW w:type="dxa" w:w="412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E8732A"/>
                      <w:sz w:val="14"/>
                      <w:szCs w:val="14"/>
                    </w:rPr>
                    <w:t xml:space="preserve">▲ criteria-based progression</w:t>
                  </w: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74"/>
              <w:gridCol w:w="1474"/>
              <w:gridCol w:w="1474"/>
              <w:gridCol w:w="1474"/>
              <w:gridCol w:w="1474"/>
              <w:gridCol w:w="1474"/>
              <w:gridCol w:w="1474"/>
            </w:tblGrid>
            <w:tr>
              <w:trPr>
                <w:trHeight w:val="1080" w:hRule="exact"/>
              </w:trPr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194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4ba9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324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2b08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475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0a474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648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e965f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799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c8a4c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950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a7d3a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30"/>
                    <w:bottom w:type="dxa" w:w="0"/>
                    <w:right w:type="dxa" w:w="30"/>
                  </w:tcMar>
                  <w:vAlign w:val="bottom"/>
                </w:tcPr>
                <w:tbl>
                  <w:tblPr>
                    <w:tblW w:type="dxa" w:w="1414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14"/>
                  </w:tblGrid>
                  <w:tr>
                    <w:trPr>
                      <w:trHeight w:val="1080" w:hRule="exact"/>
                    </w:trPr>
                    <w:tc>
                      <w:tcPr>
                        <w:tcW w:type="dxa" w:w="1414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e8732a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1" w:lineRule="exact"/>
                        </w:pPr>
                      </w:p>
                    </w:tc>
                  </w:tr>
                </w:tbl>
                <w:p/>
              </w:tc>
            </w:tr>
          </w:tbl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74"/>
              <w:gridCol w:w="1474"/>
              <w:gridCol w:w="1474"/>
              <w:gridCol w:w="1474"/>
              <w:gridCol w:w="1474"/>
              <w:gridCol w:w="1474"/>
              <w:gridCol w:w="1474"/>
            </w:tblGrid>
            <w:tr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W1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W2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W4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W6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W9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W12</w:t>
                  </w:r>
                </w:p>
              </w:tc>
              <w:tc>
                <w:tcPr>
                  <w:tcW w:type="dxa" w:w="147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b7151"/>
                      <w:sz w:val="12"/>
                      <w:szCs w:val="12"/>
                    </w:rPr>
                    <w:t xml:space="preserve">RTS</w:t>
                  </w:r>
                </w:p>
              </w:tc>
            </w:tr>
          </w:tbl>
          <w:p/>
        </w:tc>
      </w:tr>
    </w:tbl>
    <w:p>
      <w:pPr>
        <w:spacing w:after="180"/>
        <w:ind w:left="700" w:right="700"/>
      </w:pPr>
    </w:p>
    <w:p>
      <w:pPr>
        <w:pBdr>
          <w:bottom w:val="single" w:color="E8732A" w:sz="14"/>
        </w:pBdr>
        <w:spacing w:after="120" w:before="0"/>
        <w:ind w:left="700" w:right="700"/>
      </w:pPr>
      <w:r>
        <w:rPr>
          <w:rFonts w:ascii="Trebuchet MS" w:cs="Trebuchet MS" w:eastAsia="Trebuchet MS" w:hAnsi="Trebuchet MS"/>
          <w:b/>
          <w:bCs/>
          <w:color w:val="23150C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50C"/>
                <w:sz w:val="20"/>
                <w:szCs w:val="20"/>
              </w:rPr>
              <w:t xml:space="preserve">Sports Physical Therapist, SCS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d886d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2611F"/>
          <w:sz w:val="18"/>
          <w:szCs w:val="18"/>
        </w:rPr>
        <w:t xml:space="preserve">Kerlan-Jobe Institute — Los Angeles,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Rehab elite and recreational athletes post-op; design criteria-based return-to-sport progressions.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Use force plates and functional testing to clear athletes; 95% return to prior level of play.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Collaborate with surgeons, ATCs, and strength coaches across the care continuum.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50C"/>
                <w:sz w:val="20"/>
                <w:szCs w:val="20"/>
              </w:rPr>
              <w:t xml:space="preserve">Physical Therapist — Sports Medicine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d886d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2611F"/>
          <w:sz w:val="18"/>
          <w:szCs w:val="18"/>
        </w:rPr>
        <w:t xml:space="preserve">UCLA Health — Los Angeles,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Treated collegiate athletes; integrated strength &amp; conditioning into rehab.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Covered events and provided on-field injury assessment.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50C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bd886d"/>
                <w:sz w:val="17"/>
                <w:szCs w:val="17"/>
              </w:rPr>
              <w:t xml:space="preserve">2016 — 2017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2611F"/>
          <w:sz w:val="18"/>
          <w:szCs w:val="18"/>
        </w:rPr>
        <w:t xml:space="preserve">Providence Outpatient Rehab — Santa Monica, CA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E3329"/>
          <w:sz w:val="19"/>
          <w:szCs w:val="19"/>
        </w:rPr>
        <w:t xml:space="preserve">Built an orthopedic and sports caseload; earned CSCS and SCS.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fbe9dd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be9dd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8732A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Return-to-Sport Testing · ACL Rehab · Manual Therapy · Blood-Flow Restriction · Strength &amp; Conditioning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E8732A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3150C"/>
                <w:sz w:val="18"/>
                <w:szCs w:val="18"/>
              </w:rPr>
              <w:t xml:space="preserve">DPT — USC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ab7151"/>
                <w:sz w:val="17"/>
                <w:szCs w:val="17"/>
              </w:rPr>
              <w:t xml:space="preserve">PT License (CA) · SCS · CSCS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329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zryrxiwhrb77quav7oat" Type="http://schemas.openxmlformats.org/officeDocument/2006/relationships/hyperlink" Target="mailto:b.sasak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2026-06-21T04:19:14.749Z</dcterms:created>
  <dcterms:modified xsi:type="dcterms:W3CDTF">2026-06-21T04:19:14.749Z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