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0" w:before="0"/>
            </w:pPr>
            <w:r>
              <w:rPr>
                <w:rFonts w:ascii="Carlito" w:cs="Carlito" w:eastAsia="Carlito" w:hAnsi="Carlito"/>
                <w:b/>
                <w:bCs/>
                <w:color w:val="6D3AA8"/>
                <w:spacing w:val="24"/>
                <w:sz w:val="15"/>
                <w:szCs w:val="15"/>
              </w:rPr>
              <w:t xml:space="preserve">Growth Product Manager // Activation &amp; Retention</w:t>
            </w:r>
          </w:p>
          <w:p>
            <w:pPr>
              <w:spacing w:after="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2A1420"/>
                <w:sz w:val="46"/>
                <w:szCs w:val="46"/>
              </w:rPr>
              <w:t xml:space="preserve">Maya Foster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Austin, TX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(512) 555-0148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maya.foster@email.com</w:t>
            </w:r>
          </w:p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6"/>
                <w:szCs w:val="16"/>
              </w:rPr>
              <w:t xml:space="preserve">in/mayafoster</w:t>
            </w:r>
          </w:p>
        </w:tc>
      </w:tr>
    </w:tbl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6D3AA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90" w:before="18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Growth PM who runs the funnel like a scientist. Seven years driving activation, retention, and monetization through relentless experimentation — hypotheses, A/B tests, and cohort analysis that compound into real growth. I pair sharp data instincts with fast, disciplined shipping.</w:t>
      </w:r>
    </w:p>
    <w:p>
      <w:pPr>
        <w:spacing w:after="60" w:before="40"/>
        <w:ind w:left="720" w:right="0"/>
      </w:pPr>
      <w:r>
        <w:rPr>
          <w:rFonts w:ascii="Carlito" w:cs="Carlito" w:eastAsia="Carlito" w:hAnsi="Carlito"/>
          <w:b/>
          <w:bCs/>
          <w:color w:val="6D3AA8"/>
          <w:spacing w:val="16"/>
          <w:sz w:val="15"/>
          <w:szCs w:val="15"/>
        </w:rPr>
        <w:t xml:space="preserve">The Growth Funnel I Own</w:t>
      </w:r>
    </w:p>
    <w:tbl>
      <w:tblPr>
        <w:tblW w:type="dxa" w:w="10080"/>
        <w:tblInd w:w="108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080"/>
      </w:tblGrid>
      <w:tr>
        <w:tc>
          <w:tcPr>
            <w:tcW w:type="dxa" w:w="10080"/>
            <w:tcBorders>
              <w:top w:val="none"/>
              <w:left w:val="none"/>
              <w:bottom w:val="none"/>
              <w:right w:val="none"/>
            </w:tcBorders>
            <w:shd w:fill="CBB6E8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96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8"/>
              <w:gridCol w:w="4242"/>
            </w:tblGrid>
            <w:tr>
              <w:tc>
                <w:tcPr>
                  <w:tcW w:type="dxa" w:w="539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7A2A55"/>
                      <w:sz w:val="19"/>
                      <w:szCs w:val="19"/>
                    </w:rPr>
                    <w:t xml:space="preserve">Acquisition</w:t>
                  </w:r>
                </w:p>
              </w:tc>
              <w:tc>
                <w:tcPr>
                  <w:tcW w:type="dxa" w:w="424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7A2A55"/>
                      <w:sz w:val="18"/>
                      <w:szCs w:val="18"/>
                    </w:rPr>
                    <w:t xml:space="preserve">-28% CAC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6D3AA8"/>
          <w:sz w:val="15"/>
          <w:szCs w:val="15"/>
        </w:rPr>
        <w:t xml:space="preserve">▼</w:t>
      </w:r>
    </w:p>
    <w:tbl>
      <w:tblPr>
        <w:tblW w:type="dxa" w:w="9360"/>
        <w:tblInd w:w="144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A87FD4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89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95"/>
              <w:gridCol w:w="3925"/>
            </w:tblGrid>
            <w:tr>
              <w:tc>
                <w:tcPr>
                  <w:tcW w:type="dxa" w:w="4995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Activation</w:t>
                  </w:r>
                </w:p>
              </w:tc>
              <w:tc>
                <w:tcPr>
                  <w:tcW w:type="dxa" w:w="3925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+41%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6D3AA8"/>
          <w:sz w:val="15"/>
          <w:szCs w:val="15"/>
        </w:rPr>
        <w:t xml:space="preserve">▼</w:t>
      </w:r>
    </w:p>
    <w:tbl>
      <w:tblPr>
        <w:tblW w:type="dxa" w:w="8640"/>
        <w:tblInd w:w="180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40"/>
      </w:tblGrid>
      <w:tr>
        <w:tc>
          <w:tcPr>
            <w:tcW w:type="dxa" w:w="8640"/>
            <w:tcBorders>
              <w:top w:val="none"/>
              <w:left w:val="none"/>
              <w:bottom w:val="none"/>
              <w:right w:val="none"/>
            </w:tcBorders>
            <w:shd w:fill="8654BE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8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92"/>
              <w:gridCol w:w="3608"/>
            </w:tblGrid>
            <w:tr>
              <w:tc>
                <w:tcPr>
                  <w:tcW w:type="dxa" w:w="45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Retention</w:t>
                  </w:r>
                </w:p>
              </w:tc>
              <w:tc>
                <w:tcPr>
                  <w:tcW w:type="dxa" w:w="360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+22% D30</w:t>
                  </w:r>
                </w:p>
              </w:tc>
            </w:tr>
          </w:tbl>
          <w:p/>
        </w:tc>
      </w:tr>
    </w:tbl>
    <w:p>
      <w:pPr>
        <w:spacing w:after="10" w:before="10"/>
        <w:jc w:val="center"/>
      </w:pPr>
      <w:r>
        <w:rPr>
          <w:rFonts w:ascii="Carlito" w:cs="Carlito" w:eastAsia="Carlito" w:hAnsi="Carlito"/>
          <w:color w:val="6D3AA8"/>
          <w:sz w:val="15"/>
          <w:szCs w:val="15"/>
        </w:rPr>
        <w:t xml:space="preserve">▼</w:t>
      </w:r>
    </w:p>
    <w:tbl>
      <w:tblPr>
        <w:tblW w:type="dxa" w:w="7920"/>
        <w:tblInd w:w="216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920"/>
      </w:tblGrid>
      <w:tr>
        <w:tc>
          <w:tcPr>
            <w:tcW w:type="dxa" w:w="7920"/>
            <w:tcBorders>
              <w:top w:val="none"/>
              <w:left w:val="none"/>
              <w:bottom w:val="none"/>
              <w:right w:val="none"/>
            </w:tcBorders>
            <w:shd w:fill="5A3AA8" w:color="auto" w:val="clear"/>
            <w:tcMar>
              <w:top w:type="dxa" w:w="120"/>
              <w:left w:type="dxa" w:w="220"/>
              <w:bottom w:type="dxa" w:w="120"/>
              <w:right w:type="dxa" w:w="220"/>
            </w:tcMar>
            <w:vAlign w:val="center"/>
          </w:tcPr>
          <w:tbl>
            <w:tblPr>
              <w:tblW w:type="dxa" w:w="7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88"/>
              <w:gridCol w:w="3292"/>
            </w:tblGrid>
            <w:tr>
              <w:tc>
                <w:tcPr>
                  <w:tcW w:type="dxa" w:w="418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9"/>
                      <w:szCs w:val="19"/>
                    </w:rPr>
                    <w:t xml:space="preserve">Revenue</w:t>
                  </w:r>
                </w:p>
              </w:tc>
              <w:tc>
                <w:tcPr>
                  <w:tcW w:type="dxa" w:w="32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8"/>
                      <w:szCs w:val="18"/>
                    </w:rPr>
                    <w:t xml:space="preserve">+$12M</w:t>
                  </w:r>
                </w:p>
              </w:tc>
            </w:tr>
          </w:tbl>
          <w:p/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10"/>
        <w:ind w:left="720" w:right="720"/>
      </w:pPr>
      <w:r>
        <w:rPr>
          <w:rFonts w:ascii="Space Grotesk" w:cs="Space Grotesk" w:eastAsia="Space Grotesk" w:hAnsi="Space Grotesk"/>
          <w:b/>
          <w:bCs/>
          <w:color w:val="2A1420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Growth Product Manager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D3AA8"/>
                <w:sz w:val="19"/>
                <w:szCs w:val="19"/>
              </w:rPr>
              <w:t xml:space="preserve">Duolingo — Austin, TX (remote)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D3AA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Run 100+ experiments/year across activation and retention; lifted D30 retention 22%.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D3AA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Rebuilt onboarding as a growth loop that raised activation 41% and cut CAC 28%.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D3AA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the growth model and North Star metric; partner with data science on causal analysis.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Product Manager, Growth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D3AA8"/>
                <w:sz w:val="19"/>
                <w:szCs w:val="19"/>
              </w:rPr>
              <w:t xml:space="preserve">HelloFresh — Austin,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D3AA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Owned checkout and referral experiments; grew conversion double digits.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D3AA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Built cohort dashboards in Amplitude to guide prioritization.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A1420"/>
                <w:sz w:val="21"/>
                <w:szCs w:val="21"/>
              </w:rPr>
              <w:t xml:space="preserve">Product Analyst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D3AA8"/>
                <w:sz w:val="19"/>
                <w:szCs w:val="19"/>
              </w:rPr>
              <w:t xml:space="preserve">Indeed — Austin,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2017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D3AA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Analyzed funnel and experiment data; moved into growth product.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6D3AA8"/>
                <w:spacing w:val="8"/>
                <w:sz w:val="18"/>
                <w:szCs w:val="18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A/B Testing · Funnel &amp; Cohort Analysis · Activation · Retention · SQL · Amplitude · Growth Loops · Experimentation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pace Grotesk" w:cs="Space Grotesk" w:eastAsia="Space Grotesk" w:hAnsi="Space Grotesk"/>
                <w:b/>
                <w:bCs/>
                <w:color w:val="6D3AA8"/>
                <w:spacing w:val="8"/>
                <w:sz w:val="18"/>
                <w:szCs w:val="18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B.S., Economics</w:t>
              <w:br/>
              <w:t xml:space="preserve">University of Texas at Austin</w:t>
            </w:r>
          </w:p>
        </w:tc>
      </w:tr>
    </w:tbl>
    <w:sectPr>
      <w:pgSz w:w="12240" w:h="15840" w:orient="portrait"/>
      <w:pgMar w:top="54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