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00"/>
        <w:gridCol w:w="4000"/>
      </w:tblGrid>
      <w:tr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40" w:before="0"/>
            </w:pPr>
            <w:r>
              <w:rPr>
                <w:rFonts w:ascii="Carlito" w:cs="Carlito" w:eastAsia="Carlito" w:hAnsi="Carlito"/>
                <w:b/>
                <w:bCs/>
                <w:color w:val="3D4EAD"/>
                <w:spacing w:val="24"/>
                <w:sz w:val="15"/>
                <w:szCs w:val="15"/>
              </w:rPr>
              <w:t xml:space="preserve">Technical Product Manager // Platform &amp; APIs</w:t>
            </w:r>
          </w:p>
          <w:p>
            <w:pPr>
              <w:spacing w:after="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1A2E2A"/>
                <w:sz w:val="46"/>
                <w:szCs w:val="46"/>
              </w:rPr>
              <w:t xml:space="preserve">Daniel Okafor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Seattle, WA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(206) 555-0173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daniel.okafor@email.com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in/danielokafor</w:t>
            </w:r>
          </w:p>
        </w:tc>
      </w:tr>
    </w:tbl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3D4EAD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line="1" w:lineRule="exact"/>
            </w:pPr>
          </w:p>
        </w:tc>
      </w:tr>
    </w:tbl>
    <w:p>
      <w:pPr>
        <w:spacing w:after="100" w:before="18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Technical product manager who owns platform, APIs, and developer-facing products. Eight years translating between engineering and the business — writing crisp PRDs, scoping technical trade-offs, and shipping scalable systems. Fluent in system design, data, and the metrics that prove a platform is working.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1E2450" w:color="auto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PRD // How I Spec a Product</w:t>
            </w:r>
          </w:p>
        </w:tc>
      </w:tr>
    </w:tbl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00"/>
        <w:gridCol w:w="7800"/>
      </w:tblGrid>
      <w:tr>
        <w:tc>
          <w:tcPr>
            <w:tcW w:type="dxa" w:w="3000"/>
            <w:tcBorders>
              <w:top w:val="none"/>
              <w:left w:val="none"/>
              <w:bottom w:val="single" w:color="E2E8E6" w:sz="4"/>
              <w:right w:val="none"/>
            </w:tcBorders>
            <w:tcMar>
              <w:top w:type="dxa" w:w="140"/>
              <w:left w:type="dxa" w:w="200"/>
              <w:bottom w:type="dxa" w:w="140"/>
              <w:right w:type="dxa" w:w="12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b/>
                <w:bCs/>
                <w:color w:val="3D4EAD"/>
                <w:sz w:val="19"/>
                <w:szCs w:val="19"/>
              </w:rPr>
              <w:t xml:space="preserve">Problem</w:t>
            </w:r>
          </w:p>
        </w:tc>
        <w:tc>
          <w:tcPr>
            <w:tcW w:type="dxa" w:w="7800"/>
            <w:tcBorders>
              <w:top w:val="none"/>
              <w:left w:val="none"/>
              <w:bottom w:val="single" w:color="E2E8E6" w:sz="4"/>
              <w:right w:val="none"/>
            </w:tcBorders>
            <w:tcMar>
              <w:top w:type="dxa" w:w="140"/>
              <w:left w:type="dxa" w:w="120"/>
              <w:bottom w:type="dxa" w:w="140"/>
              <w:right w:type="dxa" w:w="16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User &amp; business pain, framed with data</w:t>
            </w:r>
          </w:p>
        </w:tc>
      </w:tr>
      <w:tr>
        <w:tc>
          <w:tcPr>
            <w:tcW w:type="dxa" w:w="3000"/>
            <w:tcBorders>
              <w:top w:val="none"/>
              <w:left w:val="none"/>
              <w:bottom w:val="single" w:color="E2E8E6" w:sz="4"/>
              <w:right w:val="none"/>
            </w:tcBorders>
            <w:tcMar>
              <w:top w:type="dxa" w:w="140"/>
              <w:left w:type="dxa" w:w="200"/>
              <w:bottom w:type="dxa" w:w="140"/>
              <w:right w:type="dxa" w:w="12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b/>
                <w:bCs/>
                <w:color w:val="3D4EAD"/>
                <w:sz w:val="19"/>
                <w:szCs w:val="19"/>
              </w:rPr>
              <w:t xml:space="preserve">Goals / Metrics</w:t>
            </w:r>
          </w:p>
        </w:tc>
        <w:tc>
          <w:tcPr>
            <w:tcW w:type="dxa" w:w="7800"/>
            <w:tcBorders>
              <w:top w:val="none"/>
              <w:left w:val="none"/>
              <w:bottom w:val="single" w:color="E2E8E6" w:sz="4"/>
              <w:right w:val="none"/>
            </w:tcBorders>
            <w:tcMar>
              <w:top w:type="dxa" w:w="140"/>
              <w:left w:type="dxa" w:w="120"/>
              <w:bottom w:type="dxa" w:w="140"/>
              <w:right w:type="dxa" w:w="16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Success criteria &amp; guardrail metrics</w:t>
            </w:r>
          </w:p>
        </w:tc>
      </w:tr>
      <w:tr>
        <w:tc>
          <w:tcPr>
            <w:tcW w:type="dxa" w:w="3000"/>
            <w:tcBorders>
              <w:top w:val="none"/>
              <w:left w:val="none"/>
              <w:bottom w:val="single" w:color="E2E8E6" w:sz="4"/>
              <w:right w:val="none"/>
            </w:tcBorders>
            <w:tcMar>
              <w:top w:type="dxa" w:w="140"/>
              <w:left w:type="dxa" w:w="200"/>
              <w:bottom w:type="dxa" w:w="140"/>
              <w:right w:type="dxa" w:w="12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b/>
                <w:bCs/>
                <w:color w:val="3D4EAD"/>
                <w:sz w:val="19"/>
                <w:szCs w:val="19"/>
              </w:rPr>
              <w:t xml:space="preserve">Requirements</w:t>
            </w:r>
          </w:p>
        </w:tc>
        <w:tc>
          <w:tcPr>
            <w:tcW w:type="dxa" w:w="7800"/>
            <w:tcBorders>
              <w:top w:val="none"/>
              <w:left w:val="none"/>
              <w:bottom w:val="single" w:color="E2E8E6" w:sz="4"/>
              <w:right w:val="none"/>
            </w:tcBorders>
            <w:tcMar>
              <w:top w:type="dxa" w:w="140"/>
              <w:left w:type="dxa" w:w="120"/>
              <w:bottom w:type="dxa" w:w="140"/>
              <w:right w:type="dxa" w:w="16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Functional + non-functional, with API contracts</w:t>
            </w:r>
          </w:p>
        </w:tc>
      </w:tr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140"/>
              <w:left w:type="dxa" w:w="200"/>
              <w:bottom w:type="dxa" w:w="140"/>
              <w:right w:type="dxa" w:w="12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b/>
                <w:bCs/>
                <w:color w:val="3D4EAD"/>
                <w:sz w:val="19"/>
                <w:szCs w:val="19"/>
              </w:rPr>
              <w:t xml:space="preserve">Rollout</w:t>
            </w:r>
          </w:p>
        </w:tc>
        <w:tc>
          <w:tcPr>
            <w:tcW w:type="dxa" w:w="7800"/>
            <w:tcBorders>
              <w:top w:val="none"/>
              <w:left w:val="none"/>
              <w:bottom w:val="none"/>
              <w:right w:val="none"/>
            </w:tcBorders>
            <w:tcMar>
              <w:top w:type="dxa" w:w="140"/>
              <w:left w:type="dxa" w:w="120"/>
              <w:bottom w:type="dxa" w:w="140"/>
              <w:right w:type="dxa" w:w="16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Phased launch, flags, and A/B plan</w:t>
            </w:r>
          </w:p>
        </w:tc>
      </w:tr>
    </w:tbl>
    <w:p>
      <w:pPr>
        <w:spacing w:after="3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70" w:before="210"/>
        <w:ind w:left="720" w:right="720"/>
      </w:pPr>
      <w:r>
        <w:rPr>
          <w:rFonts w:ascii="Space Grotesk" w:cs="Space Grotesk" w:eastAsia="Space Grotesk" w:hAnsi="Space Grotesk"/>
          <w:b/>
          <w:bCs/>
          <w:color w:val="1A2E2A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A2E2A"/>
                <w:sz w:val="21"/>
                <w:szCs w:val="21"/>
              </w:rPr>
              <w:t xml:space="preserve">Technical Product Manager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3D4EAD"/>
                <w:sz w:val="19"/>
                <w:szCs w:val="19"/>
              </w:rPr>
              <w:t xml:space="preserve">Stripe — Seattle, WA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3D4EAD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Own a payments API product; write PRDs and API specs used by 5,000+ developers.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3D4EAD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Cut integration time 40% by redesigning the developer onboarding and SDK docs.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3D4EAD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Partner with engineering on system design, SLAs, and phased, flagged rollouts.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A2E2A"/>
                <w:sz w:val="21"/>
                <w:szCs w:val="21"/>
              </w:rPr>
              <w:t xml:space="preserve">Product Manager, Platform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3D4EAD"/>
                <w:sz w:val="19"/>
                <w:szCs w:val="19"/>
              </w:rPr>
              <w:t xml:space="preserve">Twilio — Seattle, WA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3D4EAD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Managed internal platform services and data pipelines; defined SLAs and roadmap.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3D4EAD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Drove an API-versioning strategy adopted across product teams.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A2E2A"/>
                <w:sz w:val="21"/>
                <w:szCs w:val="21"/>
              </w:rPr>
              <w:t xml:space="preserve">Software Engineer → Associate PM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3D4EAD"/>
                <w:sz w:val="19"/>
                <w:szCs w:val="19"/>
              </w:rPr>
              <w:t xml:space="preserve">Cisco — San Jose,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2016 — 2018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3D4EAD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Built backend services, then moved into product; brought an engineer's lens to specs.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5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3D4EAD"/>
                <w:spacing w:val="8"/>
                <w:sz w:val="18"/>
                <w:szCs w:val="18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PRDs &amp; Specs · API Products · System Design · SQL · Roadmapping · Agile/Scrum · Experimentation · Data Analysis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3D4EAD"/>
                <w:spacing w:val="8"/>
                <w:sz w:val="18"/>
                <w:szCs w:val="18"/>
              </w:rPr>
              <w:t xml:space="preserve">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B.S., Computer Science</w:t>
              <w:br/>
              <w:t xml:space="preserve">University of Washington</w:t>
            </w:r>
          </w:p>
        </w:tc>
      </w:tr>
    </w:tbl>
    <w:sectPr>
      <w:pgSz w:w="12240" w:h="15840" w:orient="portrait"/>
      <w:pgMar w:top="54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