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pacing w:val="24"/>
                <w:sz w:val="15"/>
                <w:szCs w:val="15"/>
              </w:rPr>
              <w:t xml:space="preserve">Technical Product Manager // Platform &amp; APIs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1A2E2A"/>
                <w:sz w:val="46"/>
                <w:szCs w:val="46"/>
              </w:rPr>
              <w:t xml:space="preserve">Daniel Okafor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Seattle, WA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(206) 555-0173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daniel.okafor@email.com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in/danielokafor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0C716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100" w:before="18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Technical product manager who owns platform, APIs, and developer-facing products. Eight years translating between engineering and the business — writing crisp PRDs, scoping technical trade-offs, and shipping scalable systems. Fluent in system design, data, and the metrics that prove a platform is working.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14332E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PRD // How I Spec a Product</w:t>
            </w:r>
          </w:p>
        </w:tc>
      </w:tr>
    </w:tbl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00"/>
        <w:gridCol w:w="7800"/>
      </w:tblGrid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Problem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User &amp; business pain, framed with data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Goals / Metrics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Success criteria &amp; guardrail metrics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Requirements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Functional + non-functional, with API contracts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Rollout</w:t>
            </w:r>
          </w:p>
        </w:tc>
        <w:tc>
          <w:tcPr>
            <w:tcW w:type="dxa" w:w="7800"/>
            <w:tcBorders>
              <w:top w:val="none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Phased launch, flags, and A/B plan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1A2E2A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Technical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Stripe — Seattle, WA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a payments API product; write PRDs and API specs used by 5,000+ developers.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Cut integration time 40% by redesigning the developer onboarding and SDK docs.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Partner with engineering on system design, SLAs, and phased, flagged rollouts.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Product Manager, Platform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Twilio — Seattle, WA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Managed internal platform services and data pipelines; defined SLAs and roadmap.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Drove an API-versioning strategy adopted across product teams.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Software Engineer → Associate PM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Cisco — San Jose,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backend services, then moved into product; brought an engineer's lens to specs.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7168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PRDs &amp; Specs · API Products · System Design · SQL · Roadmapping · Agile/Scrum · Experimentation · Data Analysis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0C7168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B.S., Computer Science</w:t>
              <w:br/>
              <w:t xml:space="preserve">University of Washington</w:t>
            </w:r>
          </w:p>
        </w:tc>
      </w:tr>
    </w:tbl>
    <w:sectPr>
      <w:pgSz w:w="12240" w:h="15840" w:orient="portrait"/>
      <w:pgMar w:top="54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