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3038" w:color="auto" w:val="clear"/>
            <w:tcMar>
              <w:top w:type="dxa" w:w="52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EEF1F3"/>
                <w:sz w:val="53"/>
                <w:szCs w:val="53"/>
              </w:rPr>
              <w:t xml:space="preserve">FRANK DELUCA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F0A830"/>
                <w:spacing w:val="30"/>
                <w:sz w:val="18"/>
                <w:szCs w:val="18"/>
              </w:rPr>
              <w:t xml:space="preserve">CONSTRUCTION PROJECT MANAGER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C4CCD1"/>
                <w:sz w:val="18"/>
                <w:szCs w:val="18"/>
              </w:rPr>
              <w:t xml:space="preserve">Newark, NJ · (973) 555-0136 · </w:t>
            </w:r>
            <w:hyperlink w:history="1" r:id="rIdosjyo5q91l-xpgcr9wprj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frank.deluca@email.com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83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83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A83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70" w:before="340"/>
        <w:ind w:left="840" w:right="840"/>
      </w:pPr>
      <w:r>
        <w:rPr>
          <w:rFonts w:ascii="Calibri" w:cs="Calibri" w:eastAsia="Calibri" w:hAnsi="Calibri"/>
          <w:color w:val="3E392E"/>
          <w:sz w:val="20"/>
          <w:szCs w:val="20"/>
        </w:rPr>
        <w:t xml:space="preserve">Construction project manager with 14 years delivering commercial and infrastructure builds on schedule and within budget. I run jobs from preconstruction through closeout — managing subcontractors, budgets, safety, and owners — and I've delivered over $250M in completed projects without a lost-time incident.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33"/>
        <w:gridCol w:w="130"/>
        <w:gridCol w:w="3433"/>
        <w:gridCol w:w="130"/>
        <w:gridCol w:w="3433"/>
      </w:tblGrid>
      <w:tr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1D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740A"/>
                <w:sz w:val="26"/>
                <w:szCs w:val="26"/>
              </w:rPr>
              <w:t xml:space="preserve">$250M+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PROJECTS DELIVERED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1D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740A"/>
                <w:sz w:val="26"/>
                <w:szCs w:val="26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LOST-TIME INCIDENTS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1D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740A"/>
                <w:sz w:val="26"/>
                <w:szCs w:val="26"/>
              </w:rPr>
              <w:t xml:space="preserve">14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IN THE FIELD</w:t>
            </w:r>
          </w:p>
        </w:tc>
      </w:tr>
    </w:tbl>
    <w:p>
      <w:pPr>
        <w:pBdr>
          <w:bottom w:val="single" w:color="EAD9B6" w:sz="8" w:space="3"/>
        </w:pBdr>
        <w:spacing w:after="90" w:before="300"/>
        <w:ind w:left="840" w:right="840"/>
      </w:pPr>
      <w:r>
        <w:rPr>
          <w:rFonts w:ascii="Calibri" w:cs="Calibri" w:eastAsia="Calibri" w:hAnsi="Calibri"/>
          <w:b/>
          <w:bCs/>
          <w:color w:val="243038"/>
          <w:spacing w:val="24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Senior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5740A"/>
          <w:sz w:val="19"/>
          <w:szCs w:val="19"/>
        </w:rPr>
        <w:t xml:space="preserve">Turner Construction — Newark,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 commercial builds up to $80M from preconstruction through closeout, including a $62M hospital expansion delivered on time.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Oversee 30+ subcontractors, schedules, RFIs, and change orders; held margin within 2% of bid.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Maintained a perfect safety record across all sites through proactive OSHA compliance.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2012 – 2017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5740A"/>
          <w:sz w:val="19"/>
          <w:szCs w:val="19"/>
        </w:rPr>
        <w:t xml:space="preserve">Skanska USA — Jersey City,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Led multifamily and mixed-use projects from $10M–$40M; standardized closeout, cutting it by 3 weeks.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Managed budgets, submittals, and owner relationships through every phase.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Assistant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2010 – 2012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B5740A"/>
          <w:sz w:val="19"/>
          <w:szCs w:val="19"/>
        </w:rPr>
        <w:t xml:space="preserve">Hunter Roberts — New York, NY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Supported scheduling, procurement, and field coordination on commercial sites.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AD9B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43038"/>
                <w:spacing w:val="18"/>
                <w:sz w:val="18"/>
                <w:szCs w:val="18"/>
              </w:rPr>
              <w:t xml:space="preserve">CERTIFICATIONS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PMP® · OSHA 30-Hour · LEED AP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Budgeting &amp; Cost Control · Scheduling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(CPM) · Subcontractor Mgmt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RFIs &amp; Change Orders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AD9B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43038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Procore · Primavera P6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Bluebeam · MS Project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B.S. Civil Engineering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Rutgers · 2010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9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sjyo5q91l-xpgcr9wprj" Type="http://schemas.openxmlformats.org/officeDocument/2006/relationships/hyperlink" Target="mailto:frank.deluc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2026-06-17T18:58:54.034Z</dcterms:created>
  <dcterms:modified xsi:type="dcterms:W3CDTF">2026-06-17T18:58:54.034Z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