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30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23A30"/>
                      <w:sz w:val="39"/>
                      <w:szCs w:val="39"/>
                    </w:rPr>
                    <w:t xml:space="preserve">RC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8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Charlotte, NC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(704)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jbicsneyvwbo6s4b97ar">
              <w:r>
                <w:rPr>
                  <w:rFonts w:ascii="Calibri" w:cs="Calibri" w:eastAsia="Calibri" w:hAnsi="Calibri"/>
                  <w:color w:val="DBEAE3"/>
                  <w:sz w:val="17"/>
                  <w:szCs w:val="17"/>
                  <w:u w:val="single"/>
                </w:rPr>
                <w:t xml:space="preserve">rachel.collins@email.com</w:t>
              </w:r>
            </w:hyperlink>
            <w:r>
              <w:rPr>
                <w:rFonts w:ascii="Calibri" w:cs="Calibri" w:eastAsia="Calibri" w:hAnsi="Calibri"/>
                <w:color w:val="DBEAE3"/>
                <w:sz w:val="18"/>
                <w:szCs w:val="18"/>
              </w:rPr>
              <w:br/>
              <w:t xml:space="preserve">in/rachelcollins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8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PMP® — Project Mgmt Institute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Certified ScrumMaster (CSM)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Lean Six Sigma — Green Belt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8"/>
                <w:sz w:val="17"/>
                <w:szCs w:val="17"/>
              </w:rPr>
              <w:t xml:space="preserve">METHODOLOGIES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Agile / Scrum · Waterfall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Hybrid · Stage-Gate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Risk &amp; Change Management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8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Jira · MS Project · Asana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Smartsheet · Confluence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Tableau · MS Office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B.S. Business Administration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UNC Charlotte · 2012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03027"/>
                <w:sz w:val="45"/>
                <w:szCs w:val="45"/>
              </w:rPr>
              <w:t xml:space="preserve">Rachel Collins, PMP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pacing w:val="22"/>
                <w:sz w:val="18"/>
                <w:szCs w:val="18"/>
              </w:rPr>
              <w:t xml:space="preserve">SENIOR PROJECT MANAGER</w:t>
            </w:r>
          </w:p>
          <w:p>
            <w:pPr>
              <w:pBdr>
                <w:bottom w:val="single" w:color="D6E8E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F7A5A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PMP-certified project manager with 11 years delivering complex cross-functional initiatives on time and on budget. I lead teams of up to 25, manage multimillion-dollar budgets, and turn ambiguous goals into clear plans, predictable delivery, and satisfied stakeholders.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53"/>
              <w:gridCol w:w="130"/>
              <w:gridCol w:w="2253"/>
              <w:gridCol w:w="130"/>
              <w:gridCol w:w="2253"/>
            </w:tblGrid>
            <w:tr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9F4EF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7A5A"/>
                      <w:sz w:val="26"/>
                      <w:szCs w:val="26"/>
                    </w:rPr>
                    <w:t xml:space="preserve">$60M+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BUDGETS MANAGED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9F4EF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7A5A"/>
                      <w:sz w:val="26"/>
                      <w:szCs w:val="26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ON-TIME DELIVERY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9F4EF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7A5A"/>
                      <w:sz w:val="26"/>
                      <w:szCs w:val="26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PROJECTS LED</w:t>
                  </w:r>
                </w:p>
              </w:tc>
            </w:tr>
          </w:tbl>
          <w:p>
            <w:pPr>
              <w:pBdr>
                <w:bottom w:val="single" w:color="D6E8E0" w:sz="8" w:space="3"/>
              </w:pBdr>
              <w:spacing w:after="90" w:before="300"/>
            </w:pPr>
            <w:r>
              <w:rPr>
                <w:rFonts w:ascii="Calibri" w:cs="Calibri" w:eastAsia="Calibri" w:hAnsi="Calibri"/>
                <w:b/>
                <w:bCs/>
                <w:color w:val="1F7A5A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7"/>
                      <w:sz w:val="20"/>
                      <w:szCs w:val="20"/>
                    </w:rPr>
                    <w:t xml:space="preserve">Senior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7A5A"/>
                <w:sz w:val="19"/>
                <w:szCs w:val="19"/>
              </w:rPr>
              <w:t xml:space="preserve">Truist Financial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Lead a portfolio of digital-transformation projects worth $60M; delivered 95% on time and under budget.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 cross-functional teams of up to 25 across engineering, ops, and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Built a PMO reporting framework adopted by 6 program teams.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7"/>
                      <w:sz w:val="20"/>
                      <w:szCs w:val="20"/>
                    </w:rPr>
                    <w:t xml:space="preserve">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2014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7A5A"/>
                <w:sz w:val="19"/>
                <w:szCs w:val="19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Managed a $12M core-banking integration delivered two months ahead of schedule.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Cut project risk exposure 30% through a standardized intake and governance process.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7"/>
                      <w:sz w:val="20"/>
                      <w:szCs w:val="20"/>
                    </w:rPr>
                    <w:t xml:space="preserve">Project Coordinator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2012 – 2014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7A5A"/>
                <w:sz w:val="19"/>
                <w:szCs w:val="19"/>
              </w:rPr>
              <w:t xml:space="preserve">Bank of America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Supported PMs on scheduling, status reporting, and stakeholder communications.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jbicsneyvwbo6s4b97ar" Type="http://schemas.openxmlformats.org/officeDocument/2006/relationships/hyperlink" Target="mailto:rachel.collin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2026-06-17T18:58:54.006Z</dcterms:created>
  <dcterms:modified xsi:type="dcterms:W3CDTF">2026-06-17T18:58:54.006Z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