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/>
        <w:jc w:val="center"/>
      </w:pPr>
      <w:r>
        <w:rPr>
          <w:rFonts w:ascii="Garamond" w:cs="Garamond" w:eastAsia="Garamond" w:hAnsi="Garamond"/>
          <w:color w:val="1C1B19"/>
          <w:sz w:val="56"/>
          <w:szCs w:val="56"/>
        </w:rPr>
        <w:t xml:space="preserve">Patricia Nguyen, PMP, PgMP</w:t>
      </w:r>
    </w:p>
    <w:p>
      <w:pPr>
        <w:spacing w:after="36"/>
        <w:jc w:val="center"/>
      </w:pPr>
      <w:r>
        <w:rPr>
          <w:rFonts w:ascii="Calibri" w:cs="Calibri" w:eastAsia="Calibri" w:hAnsi="Calibri"/>
          <w:b/>
          <w:bCs/>
          <w:color w:val="28456A"/>
          <w:spacing w:val="48"/>
          <w:sz w:val="18"/>
          <w:szCs w:val="18"/>
        </w:rPr>
        <w:t xml:space="preserve">DIRECTOR OF PROGRAM MANAGEMENT</w:t>
      </w:r>
    </w:p>
    <w:p>
      <w:pPr>
        <w:pBdr>
          <w:bottom w:val="single" w:color="2B2A28" w:sz="14" w:space="8"/>
        </w:pBdr>
        <w:spacing w:after="20"/>
        <w:jc w:val="center"/>
      </w:pPr>
      <w:r>
        <w:rPr>
          <w:rFonts w:ascii="Calibri" w:cs="Calibri" w:eastAsia="Calibri" w:hAnsi="Calibri"/>
          <w:color w:val="5A564E"/>
          <w:sz w:val="18"/>
          <w:szCs w:val="18"/>
        </w:rPr>
        <w:t xml:space="preserve">San Jose, CA · (408) 555-0142 · </w:t>
      </w:r>
      <w:hyperlink w:history="1" r:id="rIdg9ve_enid7xxbi0iezgeg">
        <w:r>
          <w:rPr>
            <w:rFonts w:ascii="Calibri" w:cs="Calibri" w:eastAsia="Calibri" w:hAnsi="Calibri"/>
            <w:color w:val="28456A"/>
            <w:sz w:val="18"/>
            <w:szCs w:val="18"/>
            <w:u w:val="single"/>
          </w:rPr>
          <w:t xml:space="preserve">p.nguyen@email.com</w:t>
        </w:r>
      </w:hyperlink>
      <w:r>
        <w:rPr>
          <w:rFonts w:ascii="Calibri" w:cs="Calibri" w:eastAsia="Calibri" w:hAnsi="Calibri"/>
          <w:color w:val="5A564E"/>
          <w:sz w:val="18"/>
          <w:szCs w:val="18"/>
        </w:rPr>
        <w:t xml:space="preserve"> · in/patricianguyen</w:t>
      </w:r>
    </w:p>
    <w:p>
      <w:pPr>
        <w:spacing w:after="160" w:before="60"/>
        <w:jc w:val="center"/>
      </w:pPr>
      <w:r>
        <w:rPr>
          <w:sz w:val="2"/>
          <w:szCs w:val="2"/>
        </w:rPr>
        <w:t xml:space="preserve"/>
      </w:r>
    </w:p>
    <w:p>
      <w:pPr>
        <w:spacing w:after="200" w:before="0"/>
        <w:jc w:val="center"/>
      </w:pPr>
      <w:r>
        <w:rPr>
          <w:rFonts w:ascii="Garamond" w:cs="Garamond" w:eastAsia="Garamond" w:hAnsi="Garamond"/>
          <w:color w:val="39362F"/>
          <w:sz w:val="20"/>
          <w:szCs w:val="20"/>
        </w:rPr>
        <w:t xml:space="preserve">Program management executive with 16 years leading enterprise portfolios and PMOs for technology and healthcare organizations. I align programs to strategy, build high-performing delivery teams, and govern complex portfolios that consistently hit their financial and schedule targets.</w:t>
      </w:r>
    </w:p>
    <w:tbl>
      <w:tblPr>
        <w:tblW w:type="dxa" w:w="10260"/>
        <w:tblBorders>
          <w:top w:val="single" w:color="D4DCE6" w:sz="4"/>
          <w:left w:val="none"/>
          <w:bottom w:val="single" w:color="D4DCE6" w:sz="4"/>
          <w:right w:val="none"/>
          <w:insideH w:val="none"/>
          <w:insideV w:val="none"/>
        </w:tblBorders>
        <w:tblLayout w:type="fixed"/>
      </w:tblPr>
      <w:tblGrid>
        <w:gridCol w:w="2565"/>
        <w:gridCol w:w="2565"/>
        <w:gridCol w:w="2565"/>
        <w:gridCol w:w="2565"/>
      </w:tblGrid>
      <w:tr>
        <w:tc>
          <w:tcPr>
            <w:tcW w:type="dxa" w:w="2565"/>
            <w:tcBorders>
              <w:top w:val="none" w:color="FFFFFF" w:sz="0"/>
              <w:left w:val="none" w:color="FFFFFF" w:sz="0"/>
              <w:bottom w:val="none" w:color="FFFFFF" w:sz="0"/>
              <w:right w:val="single" w:color="D4DCE6" w:sz="4"/>
            </w:tcBorders>
            <w:tcMar>
              <w:top w:type="dxa" w:w="160"/>
              <w:left w:type="dxa" w:w="20"/>
              <w:bottom w:type="dxa" w:w="160"/>
              <w:right w:type="dxa" w:w="20"/>
            </w:tcMar>
            <w:vAlign w:val="center"/>
          </w:tcPr>
          <w:p>
            <w:pPr>
              <w:spacing w:after="18"/>
              <w:jc w:val="center"/>
            </w:pPr>
            <w:r>
              <w:rPr>
                <w:rFonts w:ascii="Garamond" w:cs="Garamond" w:eastAsia="Garamond" w:hAnsi="Garamond"/>
                <w:b/>
                <w:bCs/>
                <w:color w:val="28456A"/>
                <w:sz w:val="32"/>
                <w:szCs w:val="32"/>
              </w:rPr>
              <w:t xml:space="preserve">$300M</w:t>
            </w:r>
          </w:p>
          <w:p>
            <w:pPr>
              <w:jc w:val="center"/>
            </w:pPr>
            <w:r>
              <w:rPr>
                <w:rFonts w:ascii="Calibri" w:cs="Calibri" w:eastAsia="Calibri" w:hAnsi="Calibri"/>
                <w:color w:val="6F6A60"/>
                <w:spacing w:val="8"/>
                <w:sz w:val="13"/>
                <w:szCs w:val="13"/>
              </w:rPr>
              <w:t xml:space="preserve">PORTFOLIO VALUE</w:t>
            </w:r>
          </w:p>
        </w:tc>
        <w:tc>
          <w:tcPr>
            <w:tcW w:type="dxa" w:w="2565"/>
            <w:tcBorders>
              <w:top w:val="none" w:color="FFFFFF" w:sz="0"/>
              <w:left w:val="none" w:color="FFFFFF" w:sz="0"/>
              <w:bottom w:val="none" w:color="FFFFFF" w:sz="0"/>
              <w:right w:val="single" w:color="D4DCE6" w:sz="4"/>
            </w:tcBorders>
            <w:tcMar>
              <w:top w:type="dxa" w:w="160"/>
              <w:left w:type="dxa" w:w="20"/>
              <w:bottom w:type="dxa" w:w="160"/>
              <w:right w:type="dxa" w:w="20"/>
            </w:tcMar>
            <w:vAlign w:val="center"/>
          </w:tcPr>
          <w:p>
            <w:pPr>
              <w:spacing w:after="18"/>
              <w:jc w:val="center"/>
            </w:pPr>
            <w:r>
              <w:rPr>
                <w:rFonts w:ascii="Garamond" w:cs="Garamond" w:eastAsia="Garamond" w:hAnsi="Garamond"/>
                <w:b/>
                <w:bCs/>
                <w:color w:val="28456A"/>
                <w:sz w:val="32"/>
                <w:szCs w:val="32"/>
              </w:rPr>
              <w:t xml:space="preserve">120+</w:t>
            </w:r>
          </w:p>
          <w:p>
            <w:pPr>
              <w:jc w:val="center"/>
            </w:pPr>
            <w:r>
              <w:rPr>
                <w:rFonts w:ascii="Calibri" w:cs="Calibri" w:eastAsia="Calibri" w:hAnsi="Calibri"/>
                <w:color w:val="6F6A60"/>
                <w:spacing w:val="8"/>
                <w:sz w:val="13"/>
                <w:szCs w:val="13"/>
              </w:rPr>
              <w:t xml:space="preserve">TEAM MEMBERS</w:t>
            </w:r>
          </w:p>
        </w:tc>
        <w:tc>
          <w:tcPr>
            <w:tcW w:type="dxa" w:w="2565"/>
            <w:tcBorders>
              <w:top w:val="none" w:color="FFFFFF" w:sz="0"/>
              <w:left w:val="none" w:color="FFFFFF" w:sz="0"/>
              <w:bottom w:val="none" w:color="FFFFFF" w:sz="0"/>
              <w:right w:val="single" w:color="D4DCE6" w:sz="4"/>
            </w:tcBorders>
            <w:tcMar>
              <w:top w:type="dxa" w:w="160"/>
              <w:left w:type="dxa" w:w="20"/>
              <w:bottom w:type="dxa" w:w="160"/>
              <w:right w:type="dxa" w:w="20"/>
            </w:tcMar>
            <w:vAlign w:val="center"/>
          </w:tcPr>
          <w:p>
            <w:pPr>
              <w:spacing w:after="18"/>
              <w:jc w:val="center"/>
            </w:pPr>
            <w:r>
              <w:rPr>
                <w:rFonts w:ascii="Garamond" w:cs="Garamond" w:eastAsia="Garamond" w:hAnsi="Garamond"/>
                <w:b/>
                <w:bCs/>
                <w:color w:val="28456A"/>
                <w:sz w:val="32"/>
                <w:szCs w:val="32"/>
              </w:rPr>
              <w:t xml:space="preserve">98%</w:t>
            </w:r>
          </w:p>
          <w:p>
            <w:pPr>
              <w:jc w:val="center"/>
            </w:pPr>
            <w:r>
              <w:rPr>
                <w:rFonts w:ascii="Calibri" w:cs="Calibri" w:eastAsia="Calibri" w:hAnsi="Calibri"/>
                <w:color w:val="6F6A60"/>
                <w:spacing w:val="8"/>
                <w:sz w:val="13"/>
                <w:szCs w:val="13"/>
              </w:rPr>
              <w:t xml:space="preserve">ON-BUDGET RATE</w:t>
            </w:r>
          </w:p>
        </w:tc>
        <w:tc>
          <w:tcPr>
            <w:tcW w:type="dxa" w:w="2565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160"/>
              <w:left w:type="dxa" w:w="20"/>
              <w:bottom w:type="dxa" w:w="160"/>
              <w:right w:type="dxa" w:w="20"/>
            </w:tcMar>
            <w:vAlign w:val="center"/>
          </w:tcPr>
          <w:p>
            <w:pPr>
              <w:spacing w:after="18"/>
              <w:jc w:val="center"/>
            </w:pPr>
            <w:r>
              <w:rPr>
                <w:rFonts w:ascii="Garamond" w:cs="Garamond" w:eastAsia="Garamond" w:hAnsi="Garamond"/>
                <w:b/>
                <w:bCs/>
                <w:color w:val="28456A"/>
                <w:sz w:val="32"/>
                <w:szCs w:val="32"/>
              </w:rPr>
              <w:t xml:space="preserve">16 yrs</w:t>
            </w:r>
          </w:p>
          <w:p>
            <w:pPr>
              <w:jc w:val="center"/>
            </w:pPr>
            <w:r>
              <w:rPr>
                <w:rFonts w:ascii="Calibri" w:cs="Calibri" w:eastAsia="Calibri" w:hAnsi="Calibri"/>
                <w:color w:val="6F6A60"/>
                <w:spacing w:val="8"/>
                <w:sz w:val="13"/>
                <w:szCs w:val="13"/>
              </w:rPr>
              <w:t xml:space="preserve">EXPERIENCE</w:t>
            </w:r>
          </w:p>
        </w:tc>
      </w:tr>
    </w:tbl>
    <w:p>
      <w:pPr>
        <w:spacing w:after="0" w:before="60"/>
      </w:pPr>
    </w:p>
    <w:p>
      <w:pPr>
        <w:pBdr>
          <w:bottom w:val="single" w:color="D4DCE6" w:sz="8" w:space="3"/>
        </w:pBdr>
        <w:spacing w:after="90" w:before="240"/>
      </w:pPr>
      <w:r>
        <w:rPr>
          <w:rFonts w:ascii="Calibri" w:cs="Calibri" w:eastAsia="Calibri" w:hAnsi="Calibri"/>
          <w:b/>
          <w:bCs/>
          <w:color w:val="1C1B19"/>
          <w:spacing w:val="24"/>
          <w:sz w:val="18"/>
          <w:szCs w:val="18"/>
        </w:rPr>
        <w:t xml:space="preserve">PROFESSIONAL EXPERIENCE</w:t>
      </w:r>
    </w:p>
    <w:tbl>
      <w:tblPr>
        <w:tblW w:type="dxa" w:w="1026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360"/>
        <w:gridCol w:w="1900"/>
      </w:tblGrid>
      <w:tr>
        <w:tc>
          <w:tcPr>
            <w:tcW w:type="dxa" w:w="8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spacing w:after="0"/>
            </w:pPr>
            <w:r>
              <w:rPr>
                <w:rFonts w:ascii="Garamond" w:cs="Garamond" w:eastAsia="Garamond" w:hAnsi="Garamond"/>
                <w:b/>
                <w:bCs/>
                <w:color w:val="1C1B19"/>
                <w:sz w:val="22"/>
                <w:szCs w:val="22"/>
              </w:rPr>
              <w:t xml:space="preserve">Director of Program Management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spacing w:after="0"/>
              <w:jc w:val="right"/>
            </w:pPr>
            <w:r>
              <w:rPr>
                <w:rFonts w:ascii="Calibri" w:cs="Calibri" w:eastAsia="Calibri" w:hAnsi="Calibri"/>
                <w:b/>
                <w:bCs/>
                <w:color w:val="777777"/>
                <w:sz w:val="17"/>
                <w:szCs w:val="17"/>
              </w:rPr>
              <w:t xml:space="preserve">2018 – Present</w:t>
            </w:r>
          </w:p>
        </w:tc>
      </w:tr>
    </w:tbl>
    <w:p>
      <w:pPr>
        <w:spacing w:after="40"/>
      </w:pPr>
      <w:r>
        <w:rPr>
          <w:rFonts w:ascii="Garamond" w:cs="Garamond" w:eastAsia="Garamond" w:hAnsi="Garamond"/>
          <w:b/>
          <w:bCs/>
          <w:i/>
          <w:iCs/>
          <w:color w:val="28456A"/>
          <w:sz w:val="19"/>
          <w:szCs w:val="19"/>
        </w:rPr>
        <w:t xml:space="preserve">Cisco Systems — San Jose, CA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Garamond" w:cs="Garamond" w:eastAsia="Garamond" w:hAnsi="Garamond"/>
          <w:color w:val="39362F"/>
          <w:sz w:val="19"/>
          <w:szCs w:val="19"/>
        </w:rPr>
        <w:t xml:space="preserve">Own a $300M program portfolio and lead a PMO of 25 project and program managers.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Garamond" w:cs="Garamond" w:eastAsia="Garamond" w:hAnsi="Garamond"/>
          <w:color w:val="39362F"/>
          <w:sz w:val="19"/>
          <w:szCs w:val="19"/>
        </w:rPr>
        <w:t xml:space="preserve">Drove a portfolio-governance overhaul that raised on-budget delivery from 84% to 98%.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Garamond" w:cs="Garamond" w:eastAsia="Garamond" w:hAnsi="Garamond"/>
          <w:color w:val="39362F"/>
          <w:sz w:val="19"/>
          <w:szCs w:val="19"/>
        </w:rPr>
        <w:t xml:space="preserve">Partner with the C-suite to align program investment with corporate strategy.</w:t>
      </w:r>
    </w:p>
    <w:p>
      <w:pPr>
        <w:spacing w:after="110"/>
      </w:pPr>
    </w:p>
    <w:tbl>
      <w:tblPr>
        <w:tblW w:type="dxa" w:w="1026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360"/>
        <w:gridCol w:w="1900"/>
      </w:tblGrid>
      <w:tr>
        <w:tc>
          <w:tcPr>
            <w:tcW w:type="dxa" w:w="8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spacing w:after="0"/>
            </w:pPr>
            <w:r>
              <w:rPr>
                <w:rFonts w:ascii="Garamond" w:cs="Garamond" w:eastAsia="Garamond" w:hAnsi="Garamond"/>
                <w:b/>
                <w:bCs/>
                <w:color w:val="1C1B19"/>
                <w:sz w:val="22"/>
                <w:szCs w:val="22"/>
              </w:rPr>
              <w:t xml:space="preserve">Senior Program Manager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spacing w:after="0"/>
              <w:jc w:val="right"/>
            </w:pPr>
            <w:r>
              <w:rPr>
                <w:rFonts w:ascii="Calibri" w:cs="Calibri" w:eastAsia="Calibri" w:hAnsi="Calibri"/>
                <w:b/>
                <w:bCs/>
                <w:color w:val="777777"/>
                <w:sz w:val="17"/>
                <w:szCs w:val="17"/>
              </w:rPr>
              <w:t xml:space="preserve">2013 – 2018</w:t>
            </w:r>
          </w:p>
        </w:tc>
      </w:tr>
    </w:tbl>
    <w:p>
      <w:pPr>
        <w:spacing w:after="40"/>
      </w:pPr>
      <w:r>
        <w:rPr>
          <w:rFonts w:ascii="Garamond" w:cs="Garamond" w:eastAsia="Garamond" w:hAnsi="Garamond"/>
          <w:b/>
          <w:bCs/>
          <w:i/>
          <w:iCs/>
          <w:color w:val="28456A"/>
          <w:sz w:val="19"/>
          <w:szCs w:val="19"/>
        </w:rPr>
        <w:t xml:space="preserve">Kaiser Permanente — Oakland, CA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Garamond" w:cs="Garamond" w:eastAsia="Garamond" w:hAnsi="Garamond"/>
          <w:color w:val="39362F"/>
          <w:sz w:val="19"/>
          <w:szCs w:val="19"/>
        </w:rPr>
        <w:t xml:space="preserve">Led a $90M EHR implementation across 12 facilities, delivered on time and adopted by 8,000 staff.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Garamond" w:cs="Garamond" w:eastAsia="Garamond" w:hAnsi="Garamond"/>
          <w:color w:val="39362F"/>
          <w:sz w:val="19"/>
          <w:szCs w:val="19"/>
        </w:rPr>
        <w:t xml:space="preserve">Built the program's risk and benefits-realization framework still in use today.</w:t>
      </w:r>
    </w:p>
    <w:p>
      <w:pPr>
        <w:spacing w:after="110"/>
      </w:pPr>
    </w:p>
    <w:tbl>
      <w:tblPr>
        <w:tblW w:type="dxa" w:w="1026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360"/>
        <w:gridCol w:w="1900"/>
      </w:tblGrid>
      <w:tr>
        <w:tc>
          <w:tcPr>
            <w:tcW w:type="dxa" w:w="8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spacing w:after="0"/>
            </w:pPr>
            <w:r>
              <w:rPr>
                <w:rFonts w:ascii="Garamond" w:cs="Garamond" w:eastAsia="Garamond" w:hAnsi="Garamond"/>
                <w:b/>
                <w:bCs/>
                <w:color w:val="1C1B19"/>
                <w:sz w:val="22"/>
                <w:szCs w:val="22"/>
              </w:rPr>
              <w:t xml:space="preserve">Project Manager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spacing w:after="0"/>
              <w:jc w:val="right"/>
            </w:pPr>
            <w:r>
              <w:rPr>
                <w:rFonts w:ascii="Calibri" w:cs="Calibri" w:eastAsia="Calibri" w:hAnsi="Calibri"/>
                <w:b/>
                <w:bCs/>
                <w:color w:val="777777"/>
                <w:sz w:val="17"/>
                <w:szCs w:val="17"/>
              </w:rPr>
              <w:t xml:space="preserve">2009 – 2013</w:t>
            </w:r>
          </w:p>
        </w:tc>
      </w:tr>
    </w:tbl>
    <w:p>
      <w:pPr>
        <w:spacing w:after="40"/>
      </w:pPr>
      <w:r>
        <w:rPr>
          <w:rFonts w:ascii="Garamond" w:cs="Garamond" w:eastAsia="Garamond" w:hAnsi="Garamond"/>
          <w:b/>
          <w:bCs/>
          <w:i/>
          <w:iCs/>
          <w:color w:val="28456A"/>
          <w:sz w:val="19"/>
          <w:szCs w:val="19"/>
        </w:rPr>
        <w:t xml:space="preserve">Accenture — San Francisco, CA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Garamond" w:cs="Garamond" w:eastAsia="Garamond" w:hAnsi="Garamond"/>
          <w:color w:val="39362F"/>
          <w:sz w:val="19"/>
          <w:szCs w:val="19"/>
        </w:rPr>
        <w:t xml:space="preserve">Delivered IT and process-improvement projects for enterprise clients across industries.</w:t>
      </w:r>
    </w:p>
    <w:p>
      <w:pPr>
        <w:spacing w:after="80"/>
      </w:pPr>
    </w:p>
    <w:tbl>
      <w:tblPr>
        <w:tblW w:type="dxa" w:w="1026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5130"/>
        <w:gridCol w:w="5130"/>
      </w:tblGrid>
      <w:tr>
        <w:tc>
          <w:tcPr>
            <w:tcW w:type="dxa" w:w="513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240"/>
            </w:tcMar>
            <w:vAlign w:val="top"/>
          </w:tcPr>
          <w:p>
            <w:pPr>
              <w:pBdr>
                <w:bottom w:val="single" w:color="D4DCE6" w:sz="8" w:space="3"/>
              </w:pBdr>
              <w:spacing w:after="70"/>
            </w:pPr>
            <w:r>
              <w:rPr>
                <w:rFonts w:ascii="Calibri" w:cs="Calibri" w:eastAsia="Calibri" w:hAnsi="Calibri"/>
                <w:b/>
                <w:bCs/>
                <w:color w:val="1C1B19"/>
                <w:spacing w:val="18"/>
                <w:sz w:val="18"/>
                <w:szCs w:val="18"/>
              </w:rPr>
              <w:t xml:space="preserve">CERTIFICATIONS &amp; EXPERTISE</w:t>
            </w:r>
          </w:p>
          <w:p>
            <w:pPr>
              <w:spacing w:after="20"/>
            </w:pPr>
            <w:r>
              <w:rPr>
                <w:rFonts w:ascii="Garamond" w:cs="Garamond" w:eastAsia="Garamond" w:hAnsi="Garamond"/>
                <w:color w:val="39362F"/>
                <w:sz w:val="19"/>
                <w:szCs w:val="19"/>
              </w:rPr>
              <w:t xml:space="preserve">PMP® · PgMP® · SAFe® Agilist</w:t>
            </w:r>
            <w:r>
              <w:rPr>
                <w:rFonts w:ascii="Garamond" w:cs="Garamond" w:eastAsia="Garamond" w:hAnsi="Garamond"/>
                <w:color w:val="39362F"/>
                <w:sz w:val="19"/>
                <w:szCs w:val="19"/>
              </w:rPr>
              <w:br/>
              <w:t xml:space="preserve">Portfolio Governance · PMO Buildout</w:t>
            </w:r>
            <w:r>
              <w:rPr>
                <w:rFonts w:ascii="Garamond" w:cs="Garamond" w:eastAsia="Garamond" w:hAnsi="Garamond"/>
                <w:color w:val="39362F"/>
                <w:sz w:val="19"/>
                <w:szCs w:val="19"/>
              </w:rPr>
              <w:br/>
              <w:t xml:space="preserve">Strategic Alignment</w:t>
            </w:r>
            <w:r>
              <w:rPr>
                <w:rFonts w:ascii="Garamond" w:cs="Garamond" w:eastAsia="Garamond" w:hAnsi="Garamond"/>
                <w:color w:val="39362F"/>
                <w:sz w:val="19"/>
                <w:szCs w:val="19"/>
              </w:rPr>
              <w:br/>
              <w:t xml:space="preserve">Benefits Realization</w:t>
            </w:r>
          </w:p>
        </w:tc>
        <w:tc>
          <w:tcPr>
            <w:tcW w:type="dxa" w:w="513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240"/>
              <w:bottom w:type="dxa" w:w="40"/>
              <w:right w:type="dxa" w:w="0"/>
            </w:tcMar>
            <w:vAlign w:val="top"/>
          </w:tcPr>
          <w:p>
            <w:pPr>
              <w:pBdr>
                <w:bottom w:val="single" w:color="D4DCE6" w:sz="8" w:space="3"/>
              </w:pBdr>
              <w:spacing w:after="70"/>
            </w:pPr>
            <w:r>
              <w:rPr>
                <w:rFonts w:ascii="Calibri" w:cs="Calibri" w:eastAsia="Calibri" w:hAnsi="Calibri"/>
                <w:b/>
                <w:bCs/>
                <w:color w:val="1C1B19"/>
                <w:spacing w:val="18"/>
                <w:sz w:val="18"/>
                <w:szCs w:val="18"/>
              </w:rPr>
              <w:t xml:space="preserve">EDUCATION</w:t>
            </w:r>
          </w:p>
          <w:p>
            <w:pPr>
              <w:spacing w:after="20"/>
            </w:pPr>
            <w:r>
              <w:rPr>
                <w:rFonts w:ascii="Garamond" w:cs="Garamond" w:eastAsia="Garamond" w:hAnsi="Garamond"/>
                <w:color w:val="39362F"/>
                <w:sz w:val="19"/>
                <w:szCs w:val="19"/>
              </w:rPr>
              <w:t xml:space="preserve">MBA — UC Berkeley Haas · 2009</w:t>
            </w:r>
            <w:r>
              <w:rPr>
                <w:rFonts w:ascii="Garamond" w:cs="Garamond" w:eastAsia="Garamond" w:hAnsi="Garamond"/>
                <w:color w:val="39362F"/>
                <w:sz w:val="19"/>
                <w:szCs w:val="19"/>
              </w:rPr>
              <w:br/>
              <w:t xml:space="preserve">B.S. Industrial Engineering</w:t>
            </w:r>
            <w:r>
              <w:rPr>
                <w:rFonts w:ascii="Garamond" w:cs="Garamond" w:eastAsia="Garamond" w:hAnsi="Garamond"/>
                <w:color w:val="39362F"/>
                <w:sz w:val="19"/>
                <w:szCs w:val="19"/>
              </w:rPr>
              <w:br/>
              <w:t xml:space="preserve">UCLA · 2005</w:t>
            </w:r>
          </w:p>
        </w:tc>
      </w:tr>
    </w:tbl>
    <w:sectPr>
      <w:pgSz w:w="12240" w:h="15840" w:orient="portrait"/>
      <w:pgMar w:top="870" w:right="990" w:bottom="760" w:left="99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230" w:hanging="1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aramond" w:cs="Garamond" w:eastAsia="Garamond" w:hAnsi="Garamond"/>
        <w:color w:val="39362F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g9ve_enid7xxbi0iezgeg" Type="http://schemas.openxmlformats.org/officeDocument/2006/relationships/hyperlink" Target="mailto:p.nguyen@email.com" TargetMode="Externa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2026-06-17T18:58:54.055Z</dcterms:created>
  <dcterms:modified xsi:type="dcterms:W3CDTF">2026-06-17T18:58:54.055Z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