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Garamond" w:cs="Garamond" w:eastAsia="Garamond" w:hAnsi="Garamond"/>
          <w:color w:val="1F1D18"/>
          <w:sz w:val="54"/>
          <w:szCs w:val="54"/>
        </w:rPr>
        <w:t xml:space="preserve">Jonathan R. Whitfield</w:t>
      </w:r>
    </w:p>
    <w:p>
      <w:pPr>
        <w:spacing w:after="40"/>
        <w:jc w:val="center"/>
      </w:pPr>
      <w:r>
        <w:rPr>
          <w:rFonts w:ascii="Calibri" w:cs="Calibri" w:eastAsia="Calibri" w:hAnsi="Calibri"/>
          <w:color w:val="A98B3F"/>
          <w:spacing w:val="70"/>
          <w:sz w:val="17"/>
          <w:szCs w:val="17"/>
        </w:rPr>
        <w:t xml:space="preserve">LUXURY REAL ESTATE SPECIALIST · REALTOR®</w:t>
      </w:r>
    </w:p>
    <w:p>
      <w:pPr>
        <w:pBdr>
          <w:bottom w:val="single" w:color="D8C184" w:sz="8" w:space="8"/>
        </w:pBdr>
        <w:spacing w:after="30"/>
        <w:jc w:val="center"/>
      </w:pPr>
      <w:r>
        <w:rPr>
          <w:rFonts w:ascii="Calibri" w:cs="Calibri" w:eastAsia="Calibri" w:hAnsi="Calibri"/>
          <w:color w:val="5E594E"/>
          <w:sz w:val="18"/>
          <w:szCs w:val="18"/>
        </w:rPr>
        <w:t xml:space="preserve">Scottsdale, AZ · (480) 555-0129 · j.whitfield@email.com · whitfieldluxury.com</w:t>
      </w:r>
    </w:p>
    <w:p>
      <w:pPr>
        <w:spacing w:after="160" w:before="140"/>
        <w:jc w:val="center"/>
      </w:pPr>
      <w:r>
        <w:rPr>
          <w:rFonts w:ascii="Calibri" w:cs="Calibri" w:eastAsia="Calibri" w:hAnsi="Calibri"/>
          <w:color w:val="3A362D"/>
          <w:sz w:val="20"/>
          <w:szCs w:val="20"/>
        </w:rPr>
        <w:t xml:space="preserve">Luxury real estate specialist with 14 years representing distinctive properties and discerning clientele across Scottsdale and Paradise Valley. Over $340M in career sales, with white-glove service, global marketing reach, and absolute discretion.</w:t>
      </w:r>
    </w:p>
    <w:tbl>
      <w:tblPr>
        <w:tblW w:type="dxa" w:w="103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440"/>
        <w:gridCol w:w="3440"/>
        <w:gridCol w:w="3440"/>
      </w:tblGrid>
      <w:tr>
        <w:tc>
          <w:tcPr>
            <w:tcW w:type="dxa" w:w="3440"/>
            <w:tcBorders>
              <w:top w:val="single" w:color="E3DCC9" w:sz="6"/>
              <w:left w:val="none" w:color="FFFFFF" w:sz="0"/>
              <w:bottom w:val="single" w:color="E3DCC9" w:sz="6"/>
              <w:right w:val="single" w:color="E3DCC9" w:sz="6"/>
            </w:tcBorders>
            <w:tcMar>
              <w:top w:type="dxa" w:w="220"/>
              <w:left w:type="dxa" w:w="40"/>
              <w:bottom w:type="dxa" w:w="220"/>
              <w:right w:type="dxa" w:w="4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F1D18"/>
                <w:sz w:val="33"/>
                <w:szCs w:val="33"/>
              </w:rPr>
              <w:t xml:space="preserve">$340M+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8A8472"/>
                <w:spacing w:val="20"/>
                <w:sz w:val="14"/>
                <w:szCs w:val="14"/>
              </w:rPr>
              <w:t xml:space="preserve">CAREER VOLUME</w:t>
            </w:r>
          </w:p>
        </w:tc>
        <w:tc>
          <w:tcPr>
            <w:tcW w:type="dxa" w:w="3440"/>
            <w:tcBorders>
              <w:top w:val="single" w:color="E3DCC9" w:sz="6"/>
              <w:left w:val="none" w:color="FFFFFF" w:sz="0"/>
              <w:bottom w:val="single" w:color="E3DCC9" w:sz="6"/>
              <w:right w:val="single" w:color="E3DCC9" w:sz="6"/>
            </w:tcBorders>
            <w:tcMar>
              <w:top w:type="dxa" w:w="220"/>
              <w:left w:type="dxa" w:w="40"/>
              <w:bottom w:type="dxa" w:w="220"/>
              <w:right w:type="dxa" w:w="4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F1D18"/>
                <w:sz w:val="33"/>
                <w:szCs w:val="33"/>
              </w:rPr>
              <w:t xml:space="preserve">$2.4M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8A8472"/>
                <w:spacing w:val="20"/>
                <w:sz w:val="14"/>
                <w:szCs w:val="14"/>
              </w:rPr>
              <w:t xml:space="preserve">AVG. SALE PRICE</w:t>
            </w:r>
          </w:p>
        </w:tc>
        <w:tc>
          <w:tcPr>
            <w:tcW w:type="dxa" w:w="3440"/>
            <w:tcBorders>
              <w:top w:val="single" w:color="E3DCC9" w:sz="6"/>
              <w:left w:val="none" w:color="FFFFFF" w:sz="0"/>
              <w:bottom w:val="single" w:color="E3DCC9" w:sz="6"/>
              <w:right w:val="none" w:color="FFFFFF" w:sz="0"/>
            </w:tcBorders>
            <w:tcMar>
              <w:top w:type="dxa" w:w="220"/>
              <w:left w:type="dxa" w:w="40"/>
              <w:bottom w:type="dxa" w:w="220"/>
              <w:right w:type="dxa" w:w="4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F1D18"/>
                <w:sz w:val="33"/>
                <w:szCs w:val="33"/>
              </w:rPr>
              <w:t xml:space="preserve">Top 1%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8A8472"/>
                <w:spacing w:val="20"/>
                <w:sz w:val="14"/>
                <w:szCs w:val="14"/>
              </w:rPr>
              <w:t xml:space="preserve">AGENTS STATEWIDE</w:t>
            </w:r>
          </w:p>
        </w:tc>
      </w:tr>
    </w:tbl>
    <w:p>
      <w:pPr>
        <w:pBdr>
          <w:bottom w:val="single" w:color="D8C184" w:sz="8" w:space="3"/>
        </w:pBdr>
        <w:spacing w:after="90" w:before="200"/>
      </w:pPr>
      <w:r>
        <w:rPr>
          <w:rFonts w:ascii="Calibri" w:cs="Calibri" w:eastAsia="Calibri" w:hAnsi="Calibri"/>
          <w:b/>
          <w:bCs/>
          <w:color w:val="1F1D18"/>
          <w:spacing w:val="36"/>
          <w:sz w:val="18"/>
          <w:szCs w:val="18"/>
        </w:rPr>
        <w:t xml:space="preserve">EXPERIENCE</w:t>
      </w:r>
    </w:p>
    <w:tbl>
      <w:tblPr>
        <w:tblW w:type="dxa" w:w="103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420"/>
        <w:gridCol w:w="1900"/>
      </w:tblGrid>
      <w:tr>
        <w:tc>
          <w:tcPr>
            <w:tcW w:type="dxa" w:w="8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F1D18"/>
                <w:sz w:val="21"/>
                <w:szCs w:val="21"/>
              </w:rPr>
              <w:t xml:space="preserve">Luxury Sales Director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8472"/>
                <w:sz w:val="18"/>
                <w:szCs w:val="18"/>
              </w:rPr>
              <w:t xml:space="preserve">2017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 w:val="false"/>
          <w:bCs w:val="false"/>
          <w:i/>
          <w:iCs/>
          <w:color w:val="A98B3F"/>
          <w:sz w:val="19"/>
          <w:szCs w:val="19"/>
        </w:rPr>
        <w:t xml:space="preserve">Meridian Sotheby's Realty — Scottsdale, AZ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362D"/>
          <w:sz w:val="19"/>
          <w:szCs w:val="19"/>
        </w:rPr>
        <w:t xml:space="preserve">Represent luxury estates from $1.5M to $12M; closed $42M in 2023 across 16 transactions.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362D"/>
          <w:sz w:val="19"/>
          <w:szCs w:val="19"/>
        </w:rPr>
        <w:t xml:space="preserve">Built a global marketing program with bespoke film, print, and international syndication.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362D"/>
          <w:sz w:val="19"/>
          <w:szCs w:val="19"/>
        </w:rPr>
        <w:t xml:space="preserve">Maintain a 98% list-to-sale ratio on properties priced above $2M.</w:t>
      </w:r>
    </w:p>
    <w:p>
      <w:pPr>
        <w:spacing w:after="110"/>
      </w:pPr>
    </w:p>
    <w:tbl>
      <w:tblPr>
        <w:tblW w:type="dxa" w:w="103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420"/>
        <w:gridCol w:w="1900"/>
      </w:tblGrid>
      <w:tr>
        <w:tc>
          <w:tcPr>
            <w:tcW w:type="dxa" w:w="8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F1D18"/>
                <w:sz w:val="21"/>
                <w:szCs w:val="21"/>
              </w:rPr>
              <w:t xml:space="preserve">Real Estate Agent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8472"/>
                <w:sz w:val="18"/>
                <w:szCs w:val="18"/>
              </w:rPr>
              <w:t xml:space="preserve">2012 – 2017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 w:val="false"/>
          <w:bCs w:val="false"/>
          <w:i/>
          <w:iCs/>
          <w:color w:val="A98B3F"/>
          <w:sz w:val="19"/>
          <w:szCs w:val="19"/>
        </w:rPr>
        <w:t xml:space="preserve">Desert Vista Properties — Paradise Valley, AZ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362D"/>
          <w:sz w:val="19"/>
          <w:szCs w:val="19"/>
        </w:rPr>
        <w:t xml:space="preserve">Built a luxury referral network among high-net-worth clients and relocation buyers.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362D"/>
          <w:sz w:val="19"/>
          <w:szCs w:val="19"/>
        </w:rPr>
        <w:t xml:space="preserve">Ranked top-3 agent company-wide for four consecutive years.</w:t>
      </w:r>
    </w:p>
    <w:p>
      <w:pPr>
        <w:spacing w:after="80"/>
      </w:pPr>
    </w:p>
    <w:p>
      <w:pPr>
        <w:pBdr>
          <w:left w:val="single" w:color="A98B3F" w:sz="18" w:space="14"/>
        </w:pBdr>
        <w:shd w:fill="F3EEE0" w:color="auto" w:val="clear"/>
        <w:spacing w:after="0" w:before="0"/>
        <w:ind w:left="240" w:right="120"/>
      </w:pPr>
      <w:r>
        <w:rPr>
          <w:sz w:val="10"/>
          <w:szCs w:val="10"/>
        </w:rPr>
        <w:t xml:space="preserve"/>
      </w:r>
      <w:r>
        <w:rPr>
          <w:rFonts w:ascii="Calibri" w:cs="Calibri" w:eastAsia="Calibri" w:hAnsi="Calibri"/>
          <w:i/>
          <w:iCs/>
          <w:color w:val="4A4536"/>
          <w:sz w:val="19"/>
          <w:szCs w:val="19"/>
        </w:rPr>
        <w:br/>
        <w:t xml:space="preserve">“Jonathan sold our estate above asking in under three weeks. His marketing and negotiation were simply in a different class.”</w:t>
      </w:r>
      <w:r>
        <w:rPr>
          <w:rFonts w:ascii="Calibri" w:cs="Calibri" w:eastAsia="Calibri" w:hAnsi="Calibri"/>
          <w:b/>
          <w:bCs/>
          <w:color w:val="8A8472"/>
          <w:spacing w:val="18"/>
          <w:sz w:val="17"/>
          <w:szCs w:val="17"/>
        </w:rPr>
        <w:br/>
        <w:t xml:space="preserve">— FORMER CLIENT, $4.2M SALE</w:t>
      </w:r>
      <w:r>
        <w:rPr>
          <w:sz w:val="10"/>
          <w:szCs w:val="10"/>
        </w:rPr>
        <w:br/>
        <w:t xml:space="preserve"/>
      </w:r>
    </w:p>
    <w:p>
      <w:pPr>
        <w:spacing w:after="60"/>
      </w:pPr>
    </w:p>
    <w:tbl>
      <w:tblPr>
        <w:tblW w:type="dxa" w:w="103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160"/>
        <w:gridCol w:w="5160"/>
      </w:tblGrid>
      <w:tr>
        <w:tc>
          <w:tcPr>
            <w:tcW w:type="dxa" w:w="5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pBdr>
                <w:bottom w:val="single" w:color="D8C184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F1D18"/>
                <w:spacing w:val="24"/>
                <w:sz w:val="18"/>
                <w:szCs w:val="18"/>
              </w:rPr>
              <w:t xml:space="preserve">LICENSE &amp; CREDENTIALS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A362D"/>
                <w:sz w:val="18"/>
                <w:szCs w:val="18"/>
              </w:rPr>
              <w:t xml:space="preserve">AZ License #SA123456 (Active)</w:t>
            </w:r>
            <w:r>
              <w:rPr>
                <w:rFonts w:ascii="Calibri" w:cs="Calibri" w:eastAsia="Calibri" w:hAnsi="Calibri"/>
                <w:color w:val="3A362D"/>
                <w:sz w:val="18"/>
                <w:szCs w:val="18"/>
              </w:rPr>
              <w:br/>
              <w:t xml:space="preserve">CLHMS · CRS Designations</w:t>
            </w:r>
            <w:r>
              <w:rPr>
                <w:rFonts w:ascii="Calibri" w:cs="Calibri" w:eastAsia="Calibri" w:hAnsi="Calibri"/>
                <w:color w:val="3A362D"/>
                <w:sz w:val="18"/>
                <w:szCs w:val="18"/>
              </w:rPr>
              <w:br/>
              <w:t xml:space="preserve">NAR &amp; Scottsdale Area Assoc. of REALTORS®</w:t>
            </w:r>
          </w:p>
        </w:tc>
        <w:tc>
          <w:tcPr>
            <w:tcW w:type="dxa" w:w="5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pBdr>
                <w:bottom w:val="single" w:color="D8C184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F1D18"/>
                <w:spacing w:val="24"/>
                <w:sz w:val="18"/>
                <w:szCs w:val="18"/>
              </w:rPr>
              <w:t xml:space="preserve">SPECIALTIES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A362D"/>
                <w:sz w:val="18"/>
                <w:szCs w:val="18"/>
              </w:rPr>
              <w:t xml:space="preserve">Luxury &amp; Estate Sales · Global Marketing</w:t>
            </w:r>
            <w:r>
              <w:rPr>
                <w:rFonts w:ascii="Calibri" w:cs="Calibri" w:eastAsia="Calibri" w:hAnsi="Calibri"/>
                <w:color w:val="3A362D"/>
                <w:sz w:val="18"/>
                <w:szCs w:val="18"/>
              </w:rPr>
              <w:br/>
              <w:t xml:space="preserve">Relocation · New Construction</w:t>
            </w:r>
            <w:r>
              <w:rPr>
                <w:rFonts w:ascii="Calibri" w:cs="Calibri" w:eastAsia="Calibri" w:hAnsi="Calibri"/>
                <w:color w:val="3A362D"/>
                <w:sz w:val="18"/>
                <w:szCs w:val="18"/>
              </w:rPr>
              <w:br/>
              <w:t xml:space="preserve">Investment Property</w:t>
            </w:r>
          </w:p>
        </w:tc>
      </w:tr>
    </w:tbl>
    <w:sectPr>
      <w:pgSz w:w="12240" w:h="15840" w:orient="portrait"/>
      <w:pgMar w:top="820" w:right="960" w:bottom="720" w:left="9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362D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2026-06-16T21:46:32.300Z</dcterms:created>
  <dcterms:modified xsi:type="dcterms:W3CDTF">2026-06-16T21:46:32.300Z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