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color="auto" w:val="clear"/>
            <w:tcMar>
              <w:top w:type="dxa" w:w="480"/>
              <w:left w:type="dxa" w:w="640"/>
              <w:bottom w:type="dxa" w:w="16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3"/>
                <w:szCs w:val="53"/>
              </w:rPr>
              <w:t xml:space="preserve">Danielle Foster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9DBCE0"/>
                <w:spacing w:val="18"/>
                <w:sz w:val="18"/>
                <w:szCs w:val="18"/>
              </w:rPr>
              <w:t xml:space="preserve">DISTRICT MANAGER · MULTI-UNIT RETAIL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color="auto" w:val="clear"/>
            <w:tcMar>
              <w:top w:type="dxa" w:w="480"/>
              <w:left w:type="dxa" w:w="0"/>
              <w:bottom w:type="dxa" w:w="180"/>
              <w:right w:type="dxa" w:w="64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B8C8DC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B8C8DC"/>
                <w:sz w:val="17"/>
                <w:szCs w:val="17"/>
              </w:rPr>
              <w:br/>
              <w:t xml:space="preserve">(312) 555-0124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cgtzwmyx5eloi7yjx7uyw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d.foster@email.com</w:t>
              </w:r>
            </w:hyperlink>
            <w:r>
              <w:rPr>
                <w:rFonts w:ascii="Calibri" w:cs="Calibri" w:eastAsia="Calibri" w:hAnsi="Calibri"/>
                <w:color w:val="B8C8DC"/>
                <w:sz w:val="17"/>
                <w:szCs w:val="17"/>
              </w:rPr>
              <w:br/>
              <w:t xml:space="preserve">in/daniellefoster</w:t>
            </w:r>
          </w:p>
        </w:tc>
      </w:tr>
      <w:tr>
        <w:tc>
          <w:tcPr>
            <w:tcW w:type="dxa" w:w="3060"/>
            <w:tcBorders>
              <w:top w:val="single" w:color="35506F" w:sz="4"/>
              <w:left w:val="none"/>
              <w:bottom w:val="none"/>
              <w:right w:val="none"/>
            </w:tcBorders>
            <w:shd w:fill="1E3A5F" w:color="auto" w:val="clear"/>
            <w:tcMar>
              <w:top w:type="dxa" w:w="200"/>
              <w:left w:type="dxa" w:w="64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12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9DBCE0"/>
                <w:spacing w:val="5"/>
                <w:sz w:val="13"/>
                <w:szCs w:val="13"/>
              </w:rPr>
              <w:t xml:space="preserve">STORES</w:t>
            </w:r>
          </w:p>
        </w:tc>
        <w:tc>
          <w:tcPr>
            <w:tcW w:type="dxa" w:w="3060"/>
            <w:tcBorders>
              <w:top w:val="single" w:color="35506F" w:sz="4"/>
              <w:left w:val="none"/>
              <w:bottom w:val="none"/>
              <w:right w:val="none"/>
            </w:tcBorders>
            <w:shd w:fill="1E3A5F" w:color="auto" w:val="clear"/>
            <w:tcMar>
              <w:top w:type="dxa" w:w="20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$92M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9DBCE0"/>
                <w:spacing w:val="5"/>
                <w:sz w:val="13"/>
                <w:szCs w:val="13"/>
              </w:rPr>
              <w:t xml:space="preserve">REGION VOLUME</w:t>
            </w:r>
          </w:p>
        </w:tc>
        <w:tc>
          <w:tcPr>
            <w:tcW w:type="dxa" w:w="3060"/>
            <w:tcBorders>
              <w:top w:val="single" w:color="35506F" w:sz="4"/>
              <w:left w:val="none"/>
              <w:bottom w:val="none"/>
              <w:right w:val="none"/>
            </w:tcBorders>
            <w:shd w:fill="1E3A5F" w:color="auto" w:val="clear"/>
            <w:tcMar>
              <w:top w:type="dxa" w:w="20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+7.1%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9DBCE0"/>
                <w:spacing w:val="5"/>
                <w:sz w:val="13"/>
                <w:szCs w:val="13"/>
              </w:rPr>
              <w:t xml:space="preserve">DISTRICT COMP</w:t>
            </w:r>
          </w:p>
        </w:tc>
        <w:tc>
          <w:tcPr>
            <w:tcW w:type="dxa" w:w="3060"/>
            <w:tcBorders>
              <w:top w:val="single" w:color="35506F" w:sz="4"/>
              <w:left w:val="none"/>
              <w:bottom w:val="none"/>
              <w:right w:val="none"/>
            </w:tcBorders>
            <w:shd w:fill="1E3A5F" w:color="auto" w:val="clear"/>
            <w:tcMar>
              <w:top w:type="dxa" w:w="20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520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9DBCE0"/>
                <w:spacing w:val="5"/>
                <w:sz w:val="13"/>
                <w:szCs w:val="13"/>
              </w:rPr>
              <w:t xml:space="preserve">ASSOCIATES</w:t>
            </w:r>
          </w:p>
        </w:tc>
      </w:tr>
    </w:tbl>
    <w:p>
      <w:pPr>
        <w:spacing w:after="220" w:before="300"/>
        <w:ind w:left="640" w:right="640"/>
      </w:pPr>
      <w:r>
        <w:rPr>
          <w:rFonts w:ascii="Calibri" w:cs="Calibri" w:eastAsia="Calibri" w:hAnsi="Calibri"/>
          <w:color w:val="3F3A48"/>
          <w:sz w:val="20"/>
          <w:szCs w:val="20"/>
        </w:rPr>
        <w:t xml:space="preserve">District manager who turns a portfolio of stores into a consistent, growing business. Twelve years scaling multi-unit retail — coaching store managers, standardizing operations, and holding the region accountable to comp, shrink, and service. I fix the underperformers and replicate what the winners do.</w:t>
      </w:r>
    </w:p>
    <w:p>
      <w:pPr>
        <w:spacing w:after="120" w:before="0"/>
        <w:ind w:left="640" w:right="640"/>
      </w:pPr>
      <w:r>
        <w:rPr>
          <w:rFonts w:ascii="Calibri" w:cs="Calibri" w:eastAsia="Calibri" w:hAnsi="Calibri"/>
          <w:b/>
          <w:bCs/>
          <w:color w:val="1E3A5F"/>
          <w:spacing w:val="24"/>
          <w:sz w:val="17"/>
          <w:szCs w:val="17"/>
        </w:rPr>
        <w:t xml:space="preserve">STORE PORTFOLIO — SNAPSHOT</w:t>
      </w:r>
    </w:p>
    <w:tbl>
      <w:tblPr>
        <w:tblW w:type="dxa" w:w="10960"/>
        <w:tblInd w:type="dxa" w:w="640"/>
        <w:tblBorders>
          <w:top w:val="single" w:color="E4DCEC" w:sz="4"/>
          <w:left w:val="single" w:color="E4DCEC" w:sz="4"/>
          <w:bottom w:val="single" w:color="E4DCEC" w:sz="4"/>
          <w:right w:val="single" w:color="E4DCEC" w:sz="4"/>
          <w:insideH w:val="none"/>
          <w:insideV w:val="none"/>
        </w:tblBorders>
        <w:tblLayout w:type="fixed"/>
      </w:tblPr>
      <w:tblGrid>
        <w:gridCol w:w="4636"/>
        <w:gridCol w:w="2107"/>
        <w:gridCol w:w="2107"/>
        <w:gridCol w:w="2110"/>
      </w:tblGrid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color="auto" w:val="clear"/>
            <w:tcMar>
              <w:top w:type="dxa" w:w="85"/>
              <w:left w:type="dxa" w:w="20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STORE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VOLUME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COMP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color="auto" w:val="clear"/>
            <w:tcMar>
              <w:top w:type="dxa" w:w="85"/>
              <w:left w:type="dxa" w:w="80"/>
              <w:bottom w:type="dxa" w:w="85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RANK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Michigan Ave (Flagship)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$16.2M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+11%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#1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Oak Brook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$9.8M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+8%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#3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Schaumburg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$8.1M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+6%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#5</w:t>
            </w:r>
          </w:p>
        </w:tc>
      </w:tr>
      <w:tr>
        <w:tc>
          <w:tcPr>
            <w:tcW w:type="dxa" w:w="46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Naperville (Turnaround)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$6.4M</w:t>
            </w:r>
          </w:p>
        </w:tc>
        <w:tc>
          <w:tcPr>
            <w:tcW w:type="dxa" w:w="21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+14%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C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↑8</w:t>
            </w:r>
          </w:p>
        </w:tc>
      </w:tr>
    </w:tbl>
    <w:p>
      <w:pPr>
        <w:spacing w:after="130" w:before="260"/>
        <w:ind w:left="640" w:right="640"/>
      </w:pPr>
      <w:r>
        <w:rPr>
          <w:rFonts w:ascii="Calibri" w:cs="Calibri" w:eastAsia="Calibri" w:hAnsi="Calibri"/>
          <w:b/>
          <w:bCs/>
          <w:color w:val="1E3A5F"/>
          <w:spacing w:val="24"/>
          <w:sz w:val="17"/>
          <w:szCs w:val="17"/>
        </w:rPr>
        <w:t xml:space="preserve">EXPERIENCE</w:t>
      </w:r>
    </w:p>
    <w:tbl>
      <w:tblPr>
        <w:tblW w:type="dxa" w:w="10960"/>
        <w:tblInd w:type="dxa" w:w="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60"/>
        <w:gridCol w:w="170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F2C"/>
                <w:sz w:val="20"/>
                <w:szCs w:val="20"/>
              </w:rPr>
              <w:t xml:space="preserve">District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4A4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640" w:right="640"/>
      </w:pPr>
      <w:r>
        <w:rPr>
          <w:rFonts w:ascii="Calibri" w:cs="Calibri" w:eastAsia="Calibri" w:hAnsi="Calibri"/>
          <w:b/>
          <w:bCs/>
          <w:color w:val="1E3A5F"/>
          <w:sz w:val="18"/>
          <w:szCs w:val="18"/>
        </w:rPr>
        <w:t xml:space="preserve">Ulta Beauty — Chicago, IL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Lead 12 stores and 520 associates across a $92M district; delivered +7.1% comp, beating company by 3 points.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Turned around the bottom store in the region to +14% comp within four quarters.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Developed 6 store managers and promoted 3 into larger-volume locations.</w:t>
      </w:r>
    </w:p>
    <w:p>
      <w:pPr>
        <w:spacing w:after="110"/>
      </w:pPr>
    </w:p>
    <w:tbl>
      <w:tblPr>
        <w:tblW w:type="dxa" w:w="10960"/>
        <w:tblInd w:type="dxa" w:w="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60"/>
        <w:gridCol w:w="1700"/>
      </w:tblGrid>
      <w:tr>
        <w:tc>
          <w:tcPr>
            <w:tcW w:type="dxa" w:w="9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F2C"/>
                <w:sz w:val="20"/>
                <w:szCs w:val="20"/>
              </w:rPr>
              <w:t xml:space="preserve">Store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4A4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640" w:right="640"/>
      </w:pPr>
      <w:r>
        <w:rPr>
          <w:rFonts w:ascii="Calibri" w:cs="Calibri" w:eastAsia="Calibri" w:hAnsi="Calibri"/>
          <w:b/>
          <w:bCs/>
          <w:color w:val="1E3A5F"/>
          <w:sz w:val="18"/>
          <w:szCs w:val="18"/>
        </w:rPr>
        <w:t xml:space="preserve">Sephora — Chicago, IL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Ran a $15M flagship; ranked top-5 in the region every year and won Manager of the Year.</w:t>
      </w:r>
    </w:p>
    <w:p>
      <w:pPr>
        <w:pStyle w:val="ListParagraph"/>
        <w:numPr>
          <w:ilvl w:val="0"/>
          <w:numId w:val="2"/>
        </w:numPr>
        <w:spacing w:after="30"/>
        <w:ind w:left="940" w:right="640" w:hanging="160"/>
      </w:pPr>
      <w:r>
        <w:rPr>
          <w:rFonts w:ascii="Calibri" w:cs="Calibri" w:eastAsia="Calibri" w:hAnsi="Calibri"/>
          <w:color w:val="3F3A48"/>
          <w:sz w:val="19"/>
          <w:szCs w:val="19"/>
        </w:rPr>
        <w:t xml:space="preserve">Built a hiring and training model later adopted district-wide.</w:t>
      </w:r>
    </w:p>
    <w:p>
      <w:pPr>
        <w:spacing w:after="60"/>
      </w:pPr>
    </w:p>
    <w:tbl>
      <w:tblPr>
        <w:tblW w:type="dxa" w:w="10960"/>
        <w:tblInd w:type="dxa" w:w="640"/>
        <w:tblBorders>
          <w:top w:val="single" w:color="E8E2E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78"/>
        <w:gridCol w:w="4982"/>
      </w:tblGrid>
      <w:tr>
        <w:tc>
          <w:tcPr>
            <w:tcW w:type="dxa" w:w="5978"/>
            <w:tcBorders>
              <w:top w:val="none" w:color="FFFFFF" w:sz="0"/>
              <w:left w:val="none" w:color="FFFFFF" w:sz="0"/>
              <w:bottom w:val="none" w:color="FFFFFF" w:sz="0"/>
              <w:right w:val="single" w:color="E8E2EE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E3A5F"/>
                <w:spacing w:val="16"/>
                <w:sz w:val="17"/>
                <w:szCs w:val="17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F3A48"/>
                <w:sz w:val="18"/>
                <w:szCs w:val="18"/>
              </w:rPr>
              <w:t xml:space="preserve">Multi-Unit P&amp;L · Manager Development · Comp Growth · Shrink Control · Operations</w:t>
            </w:r>
          </w:p>
        </w:tc>
        <w:tc>
          <w:tcPr>
            <w:tcW w:type="dxa" w:w="4982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E3A5F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41F2C"/>
                <w:sz w:val="18"/>
                <w:szCs w:val="18"/>
              </w:rPr>
              <w:t xml:space="preserve">B.A., Business Administration</w:t>
            </w:r>
          </w:p>
          <w:p>
            <w:r>
              <w:rPr>
                <w:rFonts w:ascii="Calibri" w:cs="Calibri" w:eastAsia="Calibri" w:hAnsi="Calibri"/>
                <w:color w:val="8A8496"/>
                <w:sz w:val="17"/>
                <w:szCs w:val="17"/>
              </w:rPr>
              <w:t xml:space="preserve">DePaul University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3A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gtzwmyx5eloi7yjx7uyw" Type="http://schemas.openxmlformats.org/officeDocument/2006/relationships/hyperlink" Target="mailto:d.fos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2026-06-19T19:38:18.712Z</dcterms:created>
  <dcterms:modified xsi:type="dcterms:W3CDTF">2026-06-19T19:38:18.712Z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