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1224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352A" w:color="auto" w:val="clear"/>
            <w:tcMar>
              <w:top w:type="dxa" w:w="480"/>
              <w:left w:type="dxa" w:w="750"/>
              <w:bottom w:type="dxa" w:w="340"/>
              <w:right w:type="dxa" w:w="750"/>
            </w:tcMar>
          </w:tcPr>
          <w:tbl>
            <w:tblPr>
              <w:tblW w:type="dxa" w:w="107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658"/>
              <w:gridCol w:w="4082"/>
            </w:tblGrid>
            <w:tr>
              <w:tc>
                <w:tcPr>
                  <w:tcW w:type="dxa" w:w="665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56"/>
                      <w:szCs w:val="56"/>
                    </w:rPr>
                    <w:t xml:space="preserve">Marcus Delgado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9A14A"/>
                      <w:spacing w:val="22"/>
                      <w:sz w:val="18"/>
                      <w:szCs w:val="18"/>
                    </w:rPr>
                    <w:t xml:space="preserve">ENTERPRISE ACCOUNT EXECUTIVE</w:t>
                  </w:r>
                </w:p>
              </w:tc>
              <w:tc>
                <w:tcPr>
                  <w:tcW w:type="dxa" w:w="408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9FB3A8"/>
                      <w:sz w:val="17"/>
                      <w:szCs w:val="17"/>
                    </w:rPr>
                    <w:t xml:space="preserve">San Francisco, CA</w:t>
                  </w:r>
                  <w:r>
                    <w:rPr>
                      <w:rFonts w:ascii="Calibri" w:cs="Calibri" w:eastAsia="Calibri" w:hAnsi="Calibri"/>
                      <w:color w:val="9FB3A8"/>
                      <w:sz w:val="17"/>
                      <w:szCs w:val="17"/>
                    </w:rPr>
                    <w:br/>
                    <w:t xml:space="preserve">(415) 555-0142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xaq-vxjsqnxnrlseljweo">
                    <w:r>
                      <w:rPr>
                        <w:rFonts w:ascii="Calibri" w:cs="Calibri" w:eastAsia="Calibri" w:hAnsi="Calibri"/>
                        <w:color w:val="FFFFFF"/>
                        <w:sz w:val="17"/>
                        <w:szCs w:val="17"/>
                        <w:u w:val="single"/>
                      </w:rPr>
                      <w:t xml:space="preserve">m.delgado@email.com</w:t>
                    </w:r>
                  </w:hyperlink>
                  <w:r>
                    <w:rPr>
                      <w:rFonts w:ascii="Calibri" w:cs="Calibri" w:eastAsia="Calibri" w:hAnsi="Calibri"/>
                      <w:color w:val="9FB3A8"/>
                      <w:sz w:val="17"/>
                      <w:szCs w:val="17"/>
                    </w:rPr>
                    <w:br/>
                    <w:t xml:space="preserve">in/marcusdelgado</w:t>
                  </w:r>
                </w:p>
              </w:tc>
            </w:tr>
          </w:tbl>
          <w:p/>
        </w:tc>
      </w:tr>
      <w:tr>
        <w:tc>
          <w:tcPr>
            <w:tcW w:type="dxa" w:w="1224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352A" w:color="auto" w:val="clear"/>
            <w:tcMar>
              <w:top w:type="dxa" w:w="200"/>
              <w:left w:type="dxa" w:w="750"/>
              <w:bottom w:type="dxa" w:w="400"/>
              <w:right w:type="dxa" w:w="750"/>
            </w:tcMar>
          </w:tcPr>
          <w:tbl>
            <w:tblPr>
              <w:tblW w:type="dxa" w:w="10740"/>
              <w:tblBorders>
                <w:top w:val="single" w:color="2C4A3D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85"/>
              <w:gridCol w:w="2685"/>
              <w:gridCol w:w="2685"/>
              <w:gridCol w:w="2685"/>
            </w:tblGrid>
            <w:tr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3352A" w:color="auto" w:val="clear"/>
                  <w:tcMar>
                    <w:top w:type="dxa" w:w="40"/>
                    <w:left w:type="dxa" w:w="10"/>
                    <w:bottom w:type="dxa" w:w="40"/>
                    <w:right w:type="dxa" w:w="1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A14A"/>
                      <w:sz w:val="39"/>
                      <w:szCs w:val="39"/>
                    </w:rPr>
                    <w:t xml:space="preserve">142%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FB3A8"/>
                      <w:spacing w:val="5"/>
                      <w:sz w:val="12"/>
                      <w:szCs w:val="12"/>
                    </w:rPr>
                    <w:t xml:space="preserve">AVG. QUOTA ATTAINMENT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3352A" w:color="auto" w:val="clear"/>
                  <w:tcMar>
                    <w:top w:type="dxa" w:w="40"/>
                    <w:left w:type="dxa" w:w="10"/>
                    <w:bottom w:type="dxa" w:w="40"/>
                    <w:right w:type="dxa" w:w="1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A14A"/>
                      <w:sz w:val="39"/>
                      <w:szCs w:val="39"/>
                    </w:rPr>
                    <w:t xml:space="preserve">$47M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FB3A8"/>
                      <w:spacing w:val="5"/>
                      <w:sz w:val="12"/>
                      <w:szCs w:val="12"/>
                    </w:rPr>
                    <w:t xml:space="preserve">LIFETIME REVENUE CLOSED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3352A" w:color="auto" w:val="clear"/>
                  <w:tcMar>
                    <w:top w:type="dxa" w:w="40"/>
                    <w:left w:type="dxa" w:w="10"/>
                    <w:bottom w:type="dxa" w:w="40"/>
                    <w:right w:type="dxa" w:w="1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A14A"/>
                      <w:sz w:val="39"/>
                      <w:szCs w:val="39"/>
                    </w:rPr>
                    <w:t xml:space="preserve">5×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FB3A8"/>
                      <w:spacing w:val="5"/>
                      <w:sz w:val="12"/>
                      <w:szCs w:val="12"/>
                    </w:rPr>
                    <w:t xml:space="preserve">PRESIDENT'S CLUB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3352A" w:color="auto" w:val="clear"/>
                  <w:tcMar>
                    <w:top w:type="dxa" w:w="40"/>
                    <w:left w:type="dxa" w:w="10"/>
                    <w:bottom w:type="dxa" w:w="40"/>
                    <w:right w:type="dxa" w:w="1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9A14A"/>
                      <w:sz w:val="39"/>
                      <w:szCs w:val="39"/>
                    </w:rPr>
                    <w:t xml:space="preserve">#1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FB3A8"/>
                      <w:spacing w:val="5"/>
                      <w:sz w:val="12"/>
                      <w:szCs w:val="12"/>
                    </w:rPr>
                    <w:t xml:space="preserve">REP OF 60 (2024)</w:t>
                  </w:r>
                </w:p>
              </w:tc>
            </w:tr>
          </w:tbl>
          <w:p/>
        </w:tc>
      </w:tr>
    </w:tbl>
    <w:p>
      <w:pPr>
        <w:spacing w:after="200" w:before="340"/>
        <w:ind w:left="750" w:right="750"/>
      </w:pPr>
      <w:r>
        <w:rPr>
          <w:rFonts w:ascii="Calibri" w:cs="Calibri" w:eastAsia="Calibri" w:hAnsi="Calibri"/>
          <w:color w:val="3C463F"/>
          <w:sz w:val="20"/>
          <w:szCs w:val="20"/>
        </w:rPr>
        <w:t xml:space="preserve">Enterprise AE who closes seven-figure deals and beats quota year after year. Twelve years selling complex SaaS to the Fortune 500, owning the full cycle from C-suite prospecting to legal close. I build champions, run a disciplined MEDDIC process, and consistently rank at the top of the board.</w:t>
      </w:r>
    </w:p>
    <w:p>
      <w:pPr>
        <w:spacing w:after="140" w:before="0"/>
        <w:ind w:left="750" w:right="750"/>
      </w:pPr>
      <w:r>
        <w:rPr>
          <w:rFonts w:ascii="Calibri" w:cs="Calibri" w:eastAsia="Calibri" w:hAnsi="Calibri"/>
          <w:b/>
          <w:bCs/>
          <w:color w:val="13352A"/>
          <w:spacing w:val="24"/>
          <w:sz w:val="17"/>
          <w:szCs w:val="17"/>
        </w:rPr>
        <w:t xml:space="preserve">QUOTA ATTAINMENT BY YEAR</w:t>
      </w:r>
    </w:p>
    <w:tbl>
      <w:tblPr>
        <w:tblW w:type="dxa" w:w="107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95"/>
        <w:gridCol w:w="120"/>
        <w:gridCol w:w="2595"/>
        <w:gridCol w:w="120"/>
        <w:gridCol w:w="2595"/>
        <w:gridCol w:w="120"/>
        <w:gridCol w:w="2595"/>
      </w:tblGrid>
      <w:tr>
        <w:tc>
          <w:tcPr>
            <w:tcW w:type="dxa" w:w="2595"/>
            <w:tcBorders>
              <w:top w:val="single" w:color="DDE9E3" w:sz="3"/>
              <w:left w:val="single" w:color="DDE9E3" w:sz="3"/>
              <w:bottom w:val="single" w:color="DDE9E3" w:sz="3"/>
              <w:right w:val="single" w:color="DDE9E3" w:sz="3"/>
            </w:tcBorders>
            <w:shd w:fill="F1F6F3" w:color="auto" w:val="clear"/>
            <w:tcMar>
              <w:top w:type="dxa" w:w="140"/>
              <w:left w:type="dxa" w:w="20"/>
              <w:bottom w:type="dxa" w:w="140"/>
              <w:right w:type="dxa" w:w="2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7A55"/>
                <w:sz w:val="30"/>
                <w:szCs w:val="30"/>
              </w:rPr>
              <w:t xml:space="preserve">128%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97F"/>
                <w:sz w:val="14"/>
                <w:szCs w:val="14"/>
              </w:rPr>
              <w:t xml:space="preserve">2021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DDE9E3" w:sz="3"/>
              <w:left w:val="single" w:color="DDE9E3" w:sz="3"/>
              <w:bottom w:val="single" w:color="DDE9E3" w:sz="3"/>
              <w:right w:val="single" w:color="DDE9E3" w:sz="3"/>
            </w:tcBorders>
            <w:shd w:fill="F1F6F3" w:color="auto" w:val="clear"/>
            <w:tcMar>
              <w:top w:type="dxa" w:w="140"/>
              <w:left w:type="dxa" w:w="20"/>
              <w:bottom w:type="dxa" w:w="140"/>
              <w:right w:type="dxa" w:w="2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7A55"/>
                <w:sz w:val="30"/>
                <w:szCs w:val="30"/>
              </w:rPr>
              <w:t xml:space="preserve">151%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97F"/>
                <w:sz w:val="14"/>
                <w:szCs w:val="14"/>
              </w:rPr>
              <w:t xml:space="preserve">2022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DDE9E3" w:sz="3"/>
              <w:left w:val="single" w:color="DDE9E3" w:sz="3"/>
              <w:bottom w:val="single" w:color="DDE9E3" w:sz="3"/>
              <w:right w:val="single" w:color="DDE9E3" w:sz="3"/>
            </w:tcBorders>
            <w:shd w:fill="F1F6F3" w:color="auto" w:val="clear"/>
            <w:tcMar>
              <w:top w:type="dxa" w:w="140"/>
              <w:left w:type="dxa" w:w="20"/>
              <w:bottom w:type="dxa" w:w="140"/>
              <w:right w:type="dxa" w:w="2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7A55"/>
                <w:sz w:val="30"/>
                <w:szCs w:val="30"/>
              </w:rPr>
              <w:t xml:space="preserve">139%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97F"/>
                <w:sz w:val="14"/>
                <w:szCs w:val="14"/>
              </w:rPr>
              <w:t xml:space="preserve">2023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352A" w:color="auto" w:val="clear"/>
            <w:tcMar>
              <w:top w:type="dxa" w:w="140"/>
              <w:left w:type="dxa" w:w="20"/>
              <w:bottom w:type="dxa" w:w="140"/>
              <w:right w:type="dxa" w:w="2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9A14A"/>
                <w:sz w:val="30"/>
                <w:szCs w:val="30"/>
              </w:rPr>
              <w:t xml:space="preserve">163%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FB3A8"/>
                <w:sz w:val="14"/>
                <w:szCs w:val="14"/>
              </w:rPr>
              <w:t xml:space="preserve">2024</w:t>
            </w:r>
          </w:p>
        </w:tc>
      </w:tr>
    </w:tbl>
    <w:p>
      <w:pPr>
        <w:spacing w:after="140" w:before="280"/>
        <w:ind w:left="750" w:right="750"/>
      </w:pPr>
      <w:r>
        <w:rPr>
          <w:rFonts w:ascii="Calibri" w:cs="Calibri" w:eastAsia="Calibri" w:hAnsi="Calibri"/>
          <w:b/>
          <w:bCs/>
          <w:color w:val="13352A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2A24"/>
                <w:sz w:val="20"/>
                <w:szCs w:val="20"/>
              </w:rPr>
              <w:t xml:space="preserve">Enterprise Account Executive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49D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1D7A55"/>
          <w:sz w:val="18"/>
          <w:szCs w:val="18"/>
        </w:rPr>
        <w:t xml:space="preserve">Datadog — San Francisco,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Carry a $6.5M new-logo quota selling to Fortune 500 IT and engineering orgs; averaged 142% attainment over five years.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Closed the largest deal in region history — a $4.2M three-year platform agreement with a Fortune 100 bank.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Earned President's Club five consecutive years and ranked #1 of 60 reps in 2024.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2A24"/>
                <w:sz w:val="20"/>
                <w:szCs w:val="20"/>
              </w:rPr>
              <w:t xml:space="preserve">Account Executive, Mid-Market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49D"/>
                <w:sz w:val="17"/>
                <w:szCs w:val="17"/>
              </w:rPr>
              <w:t xml:space="preserve">2015 – 2019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1D7A55"/>
          <w:sz w:val="18"/>
          <w:szCs w:val="18"/>
        </w:rPr>
        <w:t xml:space="preserve">Salesforce — San Francisco,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Grew a greenfield territory from $0 to $8M ARR in four years, closing 90+ new accounts.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Maintained a 34% win rate against incumbent competitors with a Challenger approach.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2A24"/>
                <w:sz w:val="20"/>
                <w:szCs w:val="20"/>
              </w:rPr>
              <w:t xml:space="preserve">Sales Development Representative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49D"/>
                <w:sz w:val="17"/>
                <w:szCs w:val="17"/>
              </w:rPr>
              <w:t xml:space="preserve">2013 – 2015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1D7A55"/>
          <w:sz w:val="18"/>
          <w:szCs w:val="18"/>
        </w:rPr>
        <w:t xml:space="preserve">Oracle — Redwood City,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C463F"/>
          <w:sz w:val="19"/>
          <w:szCs w:val="19"/>
        </w:rPr>
        <w:t xml:space="preserve">Booked 40+ qualified meetings per month, sourcing $3M in pipeline as the top SDR of 25.</w:t>
      </w:r>
    </w:p>
    <w:p>
      <w:pPr>
        <w:spacing w:after="6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14"/>
        <w:gridCol w:w="4726"/>
      </w:tblGrid>
      <w:tr>
        <w:tc>
          <w:tcPr>
            <w:tcW w:type="dxa" w:w="60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3352A"/>
                <w:spacing w:val="18"/>
                <w:sz w:val="17"/>
                <w:szCs w:val="17"/>
              </w:rPr>
              <w:t xml:space="preserve">STACK &amp; METHODOLOGY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63F"/>
                <w:sz w:val="19"/>
                <w:szCs w:val="19"/>
              </w:rPr>
              <w:t xml:space="preserve">Salesforce · Gong · Outreach · ZoomInfo</w:t>
            </w:r>
            <w:r>
              <w:rPr>
                <w:rFonts w:ascii="Calibri" w:cs="Calibri" w:eastAsia="Calibri" w:hAnsi="Calibri"/>
                <w:color w:val="3C463F"/>
                <w:sz w:val="19"/>
                <w:szCs w:val="19"/>
              </w:rPr>
              <w:br/>
              <w:t xml:space="preserve">LinkedIn Sales Navigator</w:t>
            </w:r>
            <w:r>
              <w:rPr>
                <w:rFonts w:ascii="Calibri" w:cs="Calibri" w:eastAsia="Calibri" w:hAnsi="Calibri"/>
                <w:color w:val="3C463F"/>
                <w:sz w:val="19"/>
                <w:szCs w:val="19"/>
              </w:rPr>
              <w:br/>
              <w:t xml:space="preserve">MEDDIC · Challenger</w:t>
            </w:r>
          </w:p>
        </w:tc>
        <w:tc>
          <w:tcPr>
            <w:tcW w:type="dxa" w:w="60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3352A"/>
                <w:spacing w:val="1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63F"/>
                <w:sz w:val="19"/>
                <w:szCs w:val="19"/>
              </w:rPr>
              <w:t xml:space="preserve">B.S., Business Administration</w:t>
            </w:r>
            <w:r>
              <w:rPr>
                <w:rFonts w:ascii="Calibri" w:cs="Calibri" w:eastAsia="Calibri" w:hAnsi="Calibri"/>
                <w:color w:val="3C463F"/>
                <w:sz w:val="19"/>
                <w:szCs w:val="19"/>
              </w:rPr>
              <w:br/>
              <w:t xml:space="preserve">UC Berkeley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46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aq-vxjsqnxnrlseljweo" Type="http://schemas.openxmlformats.org/officeDocument/2006/relationships/hyperlink" Target="mailto:m.delgad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2026-06-18T18:44:01.311Z</dcterms:created>
  <dcterms:modified xsi:type="dcterms:W3CDTF">2026-06-18T18:44:01.312Z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