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294A" w:color="auto" w:val="clear"/>
            <w:tcMar>
              <w:top w:type="dxa" w:w="480"/>
              <w:left w:type="dxa" w:w="750"/>
              <w:bottom w:type="dxa" w:w="34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58"/>
              <w:gridCol w:w="4082"/>
            </w:tblGrid>
            <w:tr>
              <w:tc>
                <w:tcPr>
                  <w:tcW w:type="dxa" w:w="66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6"/>
                      <w:szCs w:val="56"/>
                    </w:rPr>
                    <w:t xml:space="preserve">Marcus Delgado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pacing w:val="22"/>
                      <w:sz w:val="18"/>
                      <w:szCs w:val="18"/>
                    </w:rPr>
                    <w:t xml:space="preserve">ENTERPRISE ACCOUNT EXECUTIVE</w:t>
                  </w:r>
                </w:p>
              </w:tc>
              <w:tc>
                <w:tcPr>
                  <w:tcW w:type="dxa" w:w="408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9FB0C8"/>
                      <w:sz w:val="17"/>
                      <w:szCs w:val="17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9FB0C8"/>
                      <w:sz w:val="17"/>
                      <w:szCs w:val="17"/>
                    </w:rPr>
                    <w:br/>
                    <w:t xml:space="preserve">(415)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zlewibp-dsyywsbdib5i1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m.delgado@email.com</w:t>
                    </w:r>
                  </w:hyperlink>
                  <w:r>
                    <w:rPr>
                      <w:rFonts w:ascii="Calibri" w:cs="Calibri" w:eastAsia="Calibri" w:hAnsi="Calibri"/>
                      <w:color w:val="9FB0C8"/>
                      <w:sz w:val="17"/>
                      <w:szCs w:val="17"/>
                    </w:rPr>
                    <w:br/>
                    <w:t xml:space="preserve">in/marcusdelgado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294A" w:color="auto" w:val="clear"/>
            <w:tcMar>
              <w:top w:type="dxa" w:w="200"/>
              <w:left w:type="dxa" w:w="750"/>
              <w:bottom w:type="dxa" w:w="400"/>
              <w:right w:type="dxa" w:w="750"/>
            </w:tcMar>
          </w:tcPr>
          <w:tbl>
            <w:tblPr>
              <w:tblW w:type="dxa" w:w="10740"/>
              <w:tblBorders>
                <w:top w:val="single" w:color="2C4566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94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142%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0C8"/>
                      <w:spacing w:val="5"/>
                      <w:sz w:val="12"/>
                      <w:szCs w:val="12"/>
                    </w:rPr>
                    <w:t xml:space="preserve">AVG. QUOTA ATTAINMENT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94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$47M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0C8"/>
                      <w:spacing w:val="5"/>
                      <w:sz w:val="12"/>
                      <w:szCs w:val="12"/>
                    </w:rPr>
                    <w:t xml:space="preserve">LIFETIME REVENUE CLOSED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94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5×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0C8"/>
                      <w:spacing w:val="5"/>
                      <w:sz w:val="12"/>
                      <w:szCs w:val="12"/>
                    </w:rPr>
                    <w:t xml:space="preserve">PRESIDENT'S CLUB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294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#1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0C8"/>
                      <w:spacing w:val="5"/>
                      <w:sz w:val="12"/>
                      <w:szCs w:val="12"/>
                    </w:rPr>
                    <w:t xml:space="preserve">REP OF 60 (2024)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C463F"/>
          <w:sz w:val="20"/>
          <w:szCs w:val="20"/>
        </w:rPr>
        <w:t xml:space="preserve">Enterprise AE who closes seven-figure deals and beats quota year after year. Twelve years selling complex SaaS to the Fortune 500, owning the full cycle from C-suite prospecting to legal close. I build champions, run a disciplined MEDDIC process, and consistently rank at the top of the board.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15294A"/>
          <w:spacing w:val="24"/>
          <w:sz w:val="17"/>
          <w:szCs w:val="17"/>
        </w:rPr>
        <w:t xml:space="preserve">QUOTA ATTAINMENT BY YEAR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20"/>
        <w:gridCol w:w="2595"/>
        <w:gridCol w:w="120"/>
        <w:gridCol w:w="2595"/>
        <w:gridCol w:w="120"/>
        <w:gridCol w:w="2595"/>
      </w:tblGrid>
      <w:tr>
        <w:tc>
          <w:tcPr>
            <w:tcW w:type="dxa" w:w="2595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30"/>
                <w:szCs w:val="30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2021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30"/>
                <w:szCs w:val="30"/>
              </w:rPr>
              <w:t xml:space="preserve">151%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2022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6E2EE" w:sz="3"/>
              <w:left w:val="single" w:color="D6E2EE" w:sz="3"/>
              <w:bottom w:val="single" w:color="D6E2EE" w:sz="3"/>
              <w:right w:val="single" w:color="D6E2EE" w:sz="3"/>
            </w:tcBorders>
            <w:shd w:fill="EEF3F9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B5D92"/>
                <w:sz w:val="30"/>
                <w:szCs w:val="30"/>
              </w:rPr>
              <w:t xml:space="preserve">139%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2023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294A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A14A"/>
                <w:sz w:val="30"/>
                <w:szCs w:val="30"/>
              </w:rPr>
              <w:t xml:space="preserve">163%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FB0C8"/>
                <w:sz w:val="14"/>
                <w:szCs w:val="14"/>
              </w:rPr>
              <w:t xml:space="preserve">2024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5294A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Enterprise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2B5D92"/>
          <w:sz w:val="18"/>
          <w:szCs w:val="18"/>
        </w:rPr>
        <w:t xml:space="preserve">Datadog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Carry a $6.5M new-logo quota selling to Fortune 500 IT and engineering orgs; averaged 142% attainment over five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Closed the largest deal in region history — a $4.2M three-year platform agreement with a Fortune 100 bank.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Earned President's Club five consecutive years and ranked #1 of 60 reps in 2024.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Account Executive,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2B5D92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Grew a greenfield territory from $0 to $8M ARR in four years, closing 90+ new accounts.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Maintained a 34% win rate against incumbent competitors with a Challenger approach.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Sales Development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2B5D92"/>
          <w:sz w:val="18"/>
          <w:szCs w:val="18"/>
        </w:rPr>
        <w:t xml:space="preserve">Oracle — Redwood City,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Booked 40+ qualified meetings per month, sourcing $3M in pipeline as the top SDR of 25.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14"/>
        <w:gridCol w:w="4726"/>
      </w:tblGrid>
      <w:tr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294A"/>
                <w:spacing w:val="18"/>
                <w:sz w:val="17"/>
                <w:szCs w:val="17"/>
              </w:rPr>
              <w:t xml:space="preserve">STACK &amp; METHODOLOGY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Salesforce · Gong · Outreach · ZoomInfo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LinkedIn Sales Navigator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MEDDIC · Challenger</w:t>
            </w:r>
          </w:p>
        </w:tc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294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B.S., Business Administration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UC Berkeley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6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lewibp-dsyywsbdib5i1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2026-06-18T18:44:01.329Z</dcterms:created>
  <dcterms:modified xsi:type="dcterms:W3CDTF">2026-06-18T18:44:01.329Z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