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621"/>
        <w:gridCol w:w="4059"/>
      </w:tblGrid>
      <w:tr>
        <w:tc>
          <w:tcPr>
            <w:tcW w:type="dxa" w:w="662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A1D22"/>
                <w:sz w:val="59"/>
                <w:szCs w:val="59"/>
              </w:rPr>
              <w:t xml:space="preserve">Stephanie Cole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E7C86"/>
                <w:spacing w:val="22"/>
                <w:sz w:val="18"/>
                <w:szCs w:val="18"/>
              </w:rPr>
              <w:t xml:space="preserve">DIRECTOR OF SALES</w:t>
            </w:r>
          </w:p>
        </w:tc>
        <w:tc>
          <w:tcPr>
            <w:tcW w:type="dxa" w:w="40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B7078"/>
                <w:sz w:val="17"/>
                <w:szCs w:val="17"/>
              </w:rPr>
              <w:t xml:space="preserve">Atlanta, GA</w:t>
            </w:r>
            <w:r>
              <w:rPr>
                <w:rFonts w:ascii="Calibri" w:cs="Calibri" w:eastAsia="Calibri" w:hAnsi="Calibri"/>
                <w:color w:val="6B7078"/>
                <w:sz w:val="17"/>
                <w:szCs w:val="17"/>
              </w:rPr>
              <w:br/>
              <w:t xml:space="preserve">(404) 555-0136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xbtqhyu7m_qutq2v8bheo">
              <w:r>
                <w:rPr>
                  <w:rFonts w:ascii="Calibri" w:cs="Calibri" w:eastAsia="Calibri" w:hAnsi="Calibri"/>
                  <w:color w:val="0E7C86"/>
                  <w:sz w:val="17"/>
                  <w:szCs w:val="17"/>
                  <w:u w:val="single"/>
                </w:rPr>
                <w:t xml:space="preserve">s.cole@email.com</w:t>
              </w:r>
            </w:hyperlink>
            <w:r>
              <w:rPr>
                <w:rFonts w:ascii="Calibri" w:cs="Calibri" w:eastAsia="Calibri" w:hAnsi="Calibri"/>
                <w:color w:val="6B7078"/>
                <w:sz w:val="17"/>
                <w:szCs w:val="17"/>
              </w:rPr>
              <w:br/>
              <w:t xml:space="preserve">in/stephaniecole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D424A"/>
          <w:sz w:val="20"/>
          <w:szCs w:val="20"/>
        </w:rPr>
        <w:t xml:space="preserve">Sales leader who builds and scales high-performing teams that beat the number. Fifteen years from rep to director, now owning a $60M region and 24 quota-carrying reps. I hire, coach, and forecast with rigor — turning ramping reps into top closers and missed quarters into streaks of overperformance.</w:t>
      </w:r>
    </w:p>
    <w:p>
      <w:pPr>
        <w:spacing w:after="40"/>
      </w:pPr>
    </w:p>
    <w:tbl>
      <w:tblPr>
        <w:tblW w:type="dxa" w:w="10680"/>
        <w:tblBorders>
          <w:top w:val="single" w:color="D6E8E8" w:sz="4"/>
          <w:left w:val="single" w:color="D6E8E8" w:sz="4"/>
          <w:bottom w:val="single" w:color="D6E8E8" w:sz="4"/>
          <w:right w:val="single" w:color="D6E8E8" w:sz="4"/>
          <w:insideH w:val="none"/>
          <w:insideV w:val="none"/>
        </w:tblBorders>
        <w:tblLayout w:type="fixed"/>
      </w:tblPr>
      <w:tblGrid>
        <w:gridCol w:w="2136"/>
        <w:gridCol w:w="2136"/>
        <w:gridCol w:w="2136"/>
        <w:gridCol w:w="2136"/>
        <w:gridCol w:w="2136"/>
      </w:tblGrid>
      <w:tr>
        <w:tc>
          <w:tcPr>
            <w:tcW w:type="dxa" w:w="1068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6F6" w:color="auto" w:val="clear"/>
            <w:tcMar>
              <w:top w:type="dxa" w:w="240"/>
              <w:left w:type="dxa" w:w="260"/>
              <w:bottom w:type="dxa" w:w="4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7C86"/>
                <w:spacing w:val="16"/>
                <w:sz w:val="17"/>
                <w:szCs w:val="17"/>
              </w:rPr>
              <w:t xml:space="preserve">TEAM PERFORMANCE — CURRENT REGION</w:t>
            </w:r>
          </w:p>
        </w:tc>
      </w:tr>
      <w:tr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6F6" w:color="auto" w:val="clear"/>
            <w:tcMar>
              <w:top w:type="dxa" w:w="40"/>
              <w:left w:type="dxa" w:w="260"/>
              <w:bottom w:type="dxa" w:w="260"/>
              <w:right w:type="dxa" w:w="40"/>
            </w:tcMar>
            <w:vAlign w:val="top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7"/>
                <w:szCs w:val="27"/>
              </w:rPr>
              <w:t xml:space="preserve">$60M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B818B"/>
                <w:spacing w:val="4"/>
                <w:sz w:val="11"/>
                <w:szCs w:val="11"/>
              </w:rPr>
              <w:t xml:space="preserve">REGION QUOTA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6F6" w:color="auto" w:val="clear"/>
            <w:tcMar>
              <w:top w:type="dxa" w:w="40"/>
              <w:left w:type="dxa" w:w="40"/>
              <w:bottom w:type="dxa" w:w="260"/>
              <w:right w:type="dxa" w:w="40"/>
            </w:tcMar>
            <w:vAlign w:val="top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7A55"/>
                <w:sz w:val="27"/>
                <w:szCs w:val="27"/>
              </w:rPr>
              <w:t xml:space="preserve">117%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B818B"/>
                <w:spacing w:val="4"/>
                <w:sz w:val="11"/>
                <w:szCs w:val="11"/>
              </w:rPr>
              <w:t xml:space="preserve">TEAM ATTAINMENT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6F6" w:color="auto" w:val="clear"/>
            <w:tcMar>
              <w:top w:type="dxa" w:w="40"/>
              <w:left w:type="dxa" w:w="40"/>
              <w:bottom w:type="dxa" w:w="260"/>
              <w:right w:type="dxa" w:w="40"/>
            </w:tcMar>
            <w:vAlign w:val="top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7"/>
                <w:szCs w:val="27"/>
              </w:rPr>
              <w:t xml:space="preserve">24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B818B"/>
                <w:spacing w:val="4"/>
                <w:sz w:val="11"/>
                <w:szCs w:val="11"/>
              </w:rPr>
              <w:t xml:space="preserve">REPS LED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6F6" w:color="auto" w:val="clear"/>
            <w:tcMar>
              <w:top w:type="dxa" w:w="40"/>
              <w:left w:type="dxa" w:w="40"/>
              <w:bottom w:type="dxa" w:w="260"/>
              <w:right w:type="dxa" w:w="40"/>
            </w:tcMar>
            <w:vAlign w:val="top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7"/>
                <w:szCs w:val="27"/>
              </w:rPr>
              <w:t xml:space="preserve">92%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B818B"/>
                <w:spacing w:val="4"/>
                <w:sz w:val="11"/>
                <w:szCs w:val="11"/>
              </w:rPr>
              <w:t xml:space="preserve">REP RETENTION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6F6" w:color="auto" w:val="clear"/>
            <w:tcMar>
              <w:top w:type="dxa" w:w="40"/>
              <w:left w:type="dxa" w:w="40"/>
              <w:bottom w:type="dxa" w:w="260"/>
              <w:right w:type="dxa" w:w="40"/>
            </w:tcMar>
            <w:vAlign w:val="top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7"/>
                <w:szCs w:val="27"/>
              </w:rPr>
              <w:t xml:space="preserve">−28%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B818B"/>
                <w:spacing w:val="4"/>
                <w:sz w:val="11"/>
                <w:szCs w:val="11"/>
              </w:rPr>
              <w:t xml:space="preserve">RAMP TIME</w:t>
            </w:r>
          </w:p>
        </w:tc>
      </w:tr>
    </w:tbl>
    <w:p>
      <w:pPr>
        <w:spacing w:after="140" w:before="280"/>
      </w:pPr>
      <w:r>
        <w:rPr>
          <w:rFonts w:ascii="Calibri" w:cs="Calibri" w:eastAsia="Calibri" w:hAnsi="Calibri"/>
          <w:b/>
          <w:bCs/>
          <w:color w:val="0E7C86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0"/>
                <w:szCs w:val="20"/>
              </w:rPr>
              <w:t xml:space="preserve">Director of Sales, Southeast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8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7C86"/>
          <w:sz w:val="18"/>
          <w:szCs w:val="18"/>
        </w:rPr>
        <w:t xml:space="preserve">ServiceNow — Atlanta, GA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Lead a $60M region and 24 reps across three teams, delivering 117% of plan for four straight years.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Rebuilt the ramp program, cutting new-rep time-to-quota by 28% and lifting retention to 92%.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Promoted nine reps into senior and leadership roles through structured coaching and deal reviews.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0"/>
                <w:szCs w:val="20"/>
              </w:rPr>
              <w:t xml:space="preserve">Sales Manager, Mid-Market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8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7C86"/>
          <w:sz w:val="18"/>
          <w:szCs w:val="18"/>
        </w:rPr>
        <w:t xml:space="preserve">Cisco — Atlanta, GA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Managed 10 reps to 124% of a $22M team quota; named Manager of the Year in 2019.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Implemented MEDDIC and weekly forecast discipline, improving forecast accuracy to within 5%.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0"/>
                <w:szCs w:val="20"/>
              </w:rPr>
              <w:t xml:space="preserve">Senior Account Executive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8"/>
                <w:sz w:val="17"/>
                <w:szCs w:val="17"/>
              </w:rPr>
              <w:t xml:space="preserve">2011 – 2016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7C86"/>
          <w:sz w:val="18"/>
          <w:szCs w:val="18"/>
        </w:rPr>
        <w:t xml:space="preserve">Cisco — Atlanta, GA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Consistent 130%+ quota performer and three-time President's Club before moving into leadership.</w:t>
      </w:r>
    </w:p>
    <w:p>
      <w:pPr>
        <w:spacing w:after="6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80"/>
        <w:gridCol w:w="4700"/>
      </w:tblGrid>
      <w:tr>
        <w:tc>
          <w:tcPr>
            <w:tcW w:type="dxa" w:w="5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E7C86"/>
                <w:spacing w:val="18"/>
                <w:sz w:val="17"/>
                <w:szCs w:val="17"/>
              </w:rPr>
              <w:t xml:space="preserve">LEADERSHIP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D424A"/>
                <w:sz w:val="19"/>
                <w:szCs w:val="19"/>
              </w:rPr>
              <w:t xml:space="preserve">Team Building · Coaching · Forecasting</w:t>
            </w:r>
            <w:r>
              <w:rPr>
                <w:rFonts w:ascii="Calibri" w:cs="Calibri" w:eastAsia="Calibri" w:hAnsi="Calibri"/>
                <w:color w:val="3D424A"/>
                <w:sz w:val="19"/>
                <w:szCs w:val="19"/>
              </w:rPr>
              <w:br/>
              <w:t xml:space="preserve">Territory Design · Comp Planning</w:t>
            </w:r>
            <w:r>
              <w:rPr>
                <w:rFonts w:ascii="Calibri" w:cs="Calibri" w:eastAsia="Calibri" w:hAnsi="Calibri"/>
                <w:color w:val="3D424A"/>
                <w:sz w:val="19"/>
                <w:szCs w:val="19"/>
              </w:rPr>
              <w:br/>
              <w:t xml:space="preserve">Pipeline Management</w:t>
            </w:r>
          </w:p>
        </w:tc>
        <w:tc>
          <w:tcPr>
            <w:tcW w:type="dxa" w:w="5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E7C86"/>
                <w:spacing w:val="18"/>
                <w:sz w:val="17"/>
                <w:szCs w:val="17"/>
              </w:rPr>
              <w:t xml:space="preserve">STACK &amp; 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D424A"/>
                <w:sz w:val="19"/>
                <w:szCs w:val="19"/>
              </w:rPr>
              <w:t xml:space="preserve">Salesforce · Clari · Gong · Outreach</w:t>
            </w:r>
            <w:r>
              <w:rPr>
                <w:rFonts w:ascii="Calibri" w:cs="Calibri" w:eastAsia="Calibri" w:hAnsi="Calibri"/>
                <w:color w:val="3D424A"/>
                <w:sz w:val="19"/>
                <w:szCs w:val="19"/>
              </w:rPr>
              <w:br/>
              <w:t xml:space="preserve">MBA — Emory University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42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btqhyu7m_qutq2v8bheo" Type="http://schemas.openxmlformats.org/officeDocument/2006/relationships/hyperlink" Target="mailto:s.co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2026-06-18T18:44:01.397Z</dcterms:created>
  <dcterms:modified xsi:type="dcterms:W3CDTF">2026-06-18T18:44:01.397Z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