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020"/>
        <w:gridCol w:w="8220"/>
      </w:tblGrid>
      <w:tr>
        <w:trPr>
          <w:trHeight w:val="14600" w:hRule="atLeast"/>
        </w:trPr>
        <w:tc>
          <w:tcPr>
            <w:tcW w:type="dxa" w:w="40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7A2230" w:color="auto" w:val="clear"/>
            <w:tcMar>
              <w:top w:type="dxa" w:w="640"/>
              <w:left w:type="dxa" w:w="430"/>
              <w:bottom w:type="dxa" w:w="560"/>
              <w:right w:type="dxa" w:w="400"/>
            </w:tcMar>
            <w:vAlign w:val="top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44"/>
                <w:szCs w:val="44"/>
              </w:rPr>
              <w:t xml:space="preserve">Jordan Rivera</w:t>
            </w:r>
          </w:p>
          <w:p>
            <w:pPr>
              <w:spacing w:after="180"/>
            </w:pPr>
            <w:r>
              <w:rPr>
                <w:rFonts w:ascii="Calibri" w:cs="Calibri" w:eastAsia="Calibri" w:hAnsi="Calibri"/>
                <w:b/>
                <w:bCs/>
                <w:color w:val="E9B9B0"/>
                <w:spacing w:val="16"/>
                <w:sz w:val="17"/>
                <w:szCs w:val="17"/>
              </w:rPr>
              <w:t xml:space="preserve">RETAIL SALES ASSOCIATE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color w:val="F1DADD"/>
                <w:sz w:val="17"/>
                <w:szCs w:val="17"/>
              </w:rPr>
              <w:t xml:space="preserve">Phoenix, AZ</w:t>
            </w:r>
            <w:r>
              <w:rPr>
                <w:rFonts w:ascii="Calibri" w:cs="Calibri" w:eastAsia="Calibri" w:hAnsi="Calibri"/>
                <w:color w:val="F1DADD"/>
                <w:sz w:val="17"/>
                <w:szCs w:val="17"/>
              </w:rPr>
              <w:br/>
              <w:t xml:space="preserve">(602) 555-0148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kk96e90pnsx9f9usx-fgx">
              <w:r>
                <w:rPr>
                  <w:rFonts w:ascii="Calibri" w:cs="Calibri" w:eastAsia="Calibri" w:hAnsi="Calibri"/>
                  <w:color w:val="F1DADD"/>
                  <w:sz w:val="17"/>
                  <w:szCs w:val="17"/>
                  <w:u w:val="single"/>
                </w:rPr>
                <w:t xml:space="preserve">jordan.rivera@email.com</w:t>
              </w:r>
            </w:hyperlink>
          </w:p>
          <w:p>
            <w:pPr>
              <w:spacing w:after="90" w:before="210"/>
            </w:pPr>
            <w:r>
              <w:rPr>
                <w:rFonts w:ascii="Calibri" w:cs="Calibri" w:eastAsia="Calibri" w:hAnsi="Calibri"/>
                <w:b/>
                <w:bCs/>
                <w:color w:val="E9B9B0"/>
                <w:spacing w:val="18"/>
                <w:sz w:val="17"/>
                <w:szCs w:val="17"/>
              </w:rPr>
              <w:t xml:space="preserve">HIGHLIGHTS</w:t>
            </w:r>
          </w:p>
          <w:p>
            <w:pPr>
              <w:shd w:fill="8B3340" w:color="auto" w:val="clear"/>
              <w:spacing w:after="150" w:before="30"/>
            </w:pPr>
            <w:r>
              <w:rPr>
                <w:sz w:val="8"/>
                <w:szCs w:val="8"/>
              </w:rPr>
              <w:t xml:space="preserve"> 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30"/>
                <w:szCs w:val="30"/>
              </w:rPr>
              <w:br/>
              <w:t xml:space="preserve">  128%</w:t>
            </w:r>
            <w:r>
              <w:rPr>
                <w:rFonts w:ascii="Calibri" w:cs="Calibri" w:eastAsia="Calibri" w:hAnsi="Calibri"/>
                <w:color w:val="E9B9B0"/>
                <w:spacing w:val="4"/>
                <w:sz w:val="12"/>
                <w:szCs w:val="12"/>
              </w:rPr>
              <w:br/>
              <w:t xml:space="preserve">  AVG. SALES GOAL</w:t>
            </w:r>
            <w:r>
              <w:rPr>
                <w:sz w:val="8"/>
                <w:szCs w:val="8"/>
              </w:rPr>
              <w:br/>
              <w:t xml:space="preserve"> </w:t>
            </w:r>
          </w:p>
          <w:p>
            <w:pPr>
              <w:shd w:fill="8B3340" w:color="auto" w:val="clear"/>
              <w:spacing w:after="150" w:before="30"/>
            </w:pPr>
            <w:r>
              <w:rPr>
                <w:sz w:val="8"/>
                <w:szCs w:val="8"/>
              </w:rPr>
              <w:t xml:space="preserve"> 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30"/>
                <w:szCs w:val="30"/>
              </w:rPr>
              <w:br/>
              <w:t xml:space="preserve">  31%</w:t>
            </w:r>
            <w:r>
              <w:rPr>
                <w:rFonts w:ascii="Calibri" w:cs="Calibri" w:eastAsia="Calibri" w:hAnsi="Calibri"/>
                <w:color w:val="E9B9B0"/>
                <w:spacing w:val="4"/>
                <w:sz w:val="12"/>
                <w:szCs w:val="12"/>
              </w:rPr>
              <w:br/>
              <w:t xml:space="preserve">  CONVERSION RATE</w:t>
            </w:r>
            <w:r>
              <w:rPr>
                <w:sz w:val="8"/>
                <w:szCs w:val="8"/>
              </w:rPr>
              <w:br/>
              <w:t xml:space="preserve"> </w:t>
            </w:r>
          </w:p>
          <w:p>
            <w:pPr>
              <w:shd w:fill="8B3340" w:color="auto" w:val="clear"/>
              <w:spacing w:after="150" w:before="30"/>
            </w:pPr>
            <w:r>
              <w:rPr>
                <w:sz w:val="8"/>
                <w:szCs w:val="8"/>
              </w:rPr>
              <w:t xml:space="preserve"> 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30"/>
                <w:szCs w:val="30"/>
              </w:rPr>
              <w:br/>
              <w:t xml:space="preserve">  $118</w:t>
            </w:r>
            <w:r>
              <w:rPr>
                <w:rFonts w:ascii="Calibri" w:cs="Calibri" w:eastAsia="Calibri" w:hAnsi="Calibri"/>
                <w:color w:val="E9B9B0"/>
                <w:spacing w:val="4"/>
                <w:sz w:val="12"/>
                <w:szCs w:val="12"/>
              </w:rPr>
              <w:br/>
              <w:t xml:space="preserve">  AVG. TRANSACTION</w:t>
            </w:r>
            <w:r>
              <w:rPr>
                <w:sz w:val="8"/>
                <w:szCs w:val="8"/>
              </w:rPr>
              <w:br/>
              <w:t xml:space="preserve"> </w:t>
            </w:r>
          </w:p>
          <w:p>
            <w:pPr>
              <w:shd w:fill="8B3340" w:color="auto" w:val="clear"/>
              <w:spacing w:after="150" w:before="30"/>
            </w:pPr>
            <w:r>
              <w:rPr>
                <w:sz w:val="8"/>
                <w:szCs w:val="8"/>
              </w:rPr>
              <w:t xml:space="preserve"> 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30"/>
                <w:szCs w:val="30"/>
              </w:rPr>
              <w:br/>
              <w:t xml:space="preserve">  #1</w:t>
            </w:r>
            <w:r>
              <w:rPr>
                <w:rFonts w:ascii="Calibri" w:cs="Calibri" w:eastAsia="Calibri" w:hAnsi="Calibri"/>
                <w:color w:val="E9B9B0"/>
                <w:spacing w:val="4"/>
                <w:sz w:val="12"/>
                <w:szCs w:val="12"/>
              </w:rPr>
              <w:br/>
              <w:t xml:space="preserve">  LOYALTY SIGN-UPS</w:t>
            </w:r>
            <w:r>
              <w:rPr>
                <w:sz w:val="8"/>
                <w:szCs w:val="8"/>
              </w:rPr>
              <w:br/>
              <w:t xml:space="preserve"> </w:t>
            </w:r>
          </w:p>
          <w:p>
            <w:pPr>
              <w:spacing w:after="90" w:before="210"/>
            </w:pPr>
            <w:r>
              <w:rPr>
                <w:rFonts w:ascii="Calibri" w:cs="Calibri" w:eastAsia="Calibri" w:hAnsi="Calibri"/>
                <w:b/>
                <w:bCs/>
                <w:color w:val="E9B9B0"/>
                <w:spacing w:val="18"/>
                <w:sz w:val="17"/>
                <w:szCs w:val="17"/>
              </w:rPr>
              <w:t xml:space="preserve">STRENGTHS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F1DADD"/>
                <w:sz w:val="18"/>
                <w:szCs w:val="18"/>
              </w:rPr>
              <w:t xml:space="preserve">Upselling &amp; Add-ons · Customer Service · POS &amp; Cash Handling · Visual Merchandising · Product Knowledge · Clienteling</w:t>
            </w:r>
          </w:p>
          <w:p>
            <w:pPr>
              <w:spacing w:after="90" w:before="210"/>
            </w:pPr>
            <w:r>
              <w:rPr>
                <w:rFonts w:ascii="Calibri" w:cs="Calibri" w:eastAsia="Calibri" w:hAnsi="Calibri"/>
                <w:b/>
                <w:bCs/>
                <w:color w:val="E9B9B0"/>
                <w:spacing w:val="18"/>
                <w:sz w:val="17"/>
                <w:szCs w:val="17"/>
              </w:rPr>
              <w:t xml:space="preserve">LANGUAGES</w:t>
            </w:r>
          </w:p>
          <w:p>
            <w:r>
              <w:rPr>
                <w:rFonts w:ascii="Calibri" w:cs="Calibri" w:eastAsia="Calibri" w:hAnsi="Calibri"/>
                <w:color w:val="F1DADD"/>
                <w:sz w:val="18"/>
                <w:szCs w:val="18"/>
              </w:rPr>
              <w:t xml:space="preserve">English · Spanish (fluent)</w:t>
            </w:r>
          </w:p>
        </w:tc>
        <w:tc>
          <w:tcPr>
            <w:tcW w:type="dxa" w:w="82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60"/>
              <w:left w:type="dxa" w:w="560"/>
              <w:bottom w:type="dxa" w:w="560"/>
              <w:right w:type="dxa" w:w="540"/>
            </w:tcMar>
            <w:vAlign w:val="top"/>
          </w:tcPr>
          <w:p>
            <w:pPr>
              <w:spacing w:after="200"/>
            </w:pPr>
            <w:r>
              <w:rPr>
                <w:rFonts w:ascii="Calibri" w:cs="Calibri" w:eastAsia="Calibri" w:hAnsi="Calibri"/>
                <w:color w:val="4C3E3A"/>
                <w:sz w:val="20"/>
                <w:szCs w:val="20"/>
              </w:rPr>
              <w:t xml:space="preserve">Friendly, goal-crushing retail associate who turns browsers into loyal customers. I read what people need, recommend with genuine product knowledge, and beat sales targets while keeping the floor and experience exceptional. Reliable, upbeat, and a natural at the close.</w:t>
            </w:r>
          </w:p>
          <w:p>
            <w:pPr>
              <w:spacing w:after="130" w:before="0"/>
            </w:pPr>
            <w:r>
              <w:rPr>
                <w:rFonts w:ascii="Calibri" w:cs="Calibri" w:eastAsia="Calibri" w:hAnsi="Calibri"/>
                <w:b/>
                <w:bCs/>
                <w:color w:val="7A2230"/>
                <w:spacing w:val="24"/>
                <w:sz w:val="17"/>
                <w:szCs w:val="17"/>
              </w:rPr>
              <w:t xml:space="preserve">EXPERIENCE</w:t>
            </w:r>
          </w:p>
          <w:tbl>
            <w:tblPr>
              <w:tblW w:type="dxa" w:w="712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420"/>
              <w:gridCol w:w="1700"/>
            </w:tblGrid>
            <w:tr>
              <w:tc>
                <w:tcPr>
                  <w:tcW w:type="dxa" w:w="542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E2320"/>
                      <w:sz w:val="20"/>
                      <w:szCs w:val="20"/>
                    </w:rPr>
                    <w:t xml:space="preserve">Sales Associate · Top Performer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AA9D99"/>
                      <w:sz w:val="17"/>
                      <w:szCs w:val="17"/>
                    </w:rPr>
                    <w:t xml:space="preserve">2022 – Present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7A2230"/>
                <w:sz w:val="18"/>
                <w:szCs w:val="18"/>
              </w:rPr>
              <w:t xml:space="preserve">Nordstrom — Scottsdale, AZ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4C3E3A"/>
                <w:sz w:val="19"/>
                <w:szCs w:val="19"/>
              </w:rPr>
              <w:t xml:space="preserve">Average 128% of monthly sales goal; named store Top Performer six months running.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4C3E3A"/>
                <w:sz w:val="19"/>
                <w:szCs w:val="19"/>
              </w:rPr>
              <w:t xml:space="preserve">Drive a 31% conversion rate and a $118 average transaction through attentive upselling and add-ons.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4C3E3A"/>
                <w:sz w:val="19"/>
                <w:szCs w:val="19"/>
              </w:rPr>
              <w:t xml:space="preserve">Lead the store in loyalty-program sign-ups, enrolling 40+ members a month.</w:t>
            </w:r>
          </w:p>
          <w:p>
            <w:pPr>
              <w:spacing w:after="110"/>
            </w:pPr>
          </w:p>
          <w:tbl>
            <w:tblPr>
              <w:tblW w:type="dxa" w:w="712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420"/>
              <w:gridCol w:w="1700"/>
            </w:tblGrid>
            <w:tr>
              <w:tc>
                <w:tcPr>
                  <w:tcW w:type="dxa" w:w="542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E2320"/>
                      <w:sz w:val="20"/>
                      <w:szCs w:val="20"/>
                    </w:rPr>
                    <w:t xml:space="preserve">Retail Sales Associate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AA9D99"/>
                      <w:sz w:val="17"/>
                      <w:szCs w:val="17"/>
                    </w:rPr>
                    <w:t xml:space="preserve">2020 – 2022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7A2230"/>
                <w:sz w:val="18"/>
                <w:szCs w:val="18"/>
              </w:rPr>
              <w:t xml:space="preserve">Best Buy — Phoenix, AZ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4C3E3A"/>
                <w:sz w:val="19"/>
                <w:szCs w:val="19"/>
              </w:rPr>
              <w:t xml:space="preserve">Sold electronics and protection plans, consistently exceeding attach-rate targets by 20%.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4C3E3A"/>
                <w:sz w:val="19"/>
                <w:szCs w:val="19"/>
              </w:rPr>
              <w:t xml:space="preserve">Earned top customer-satisfaction scores in the department four quarters in a row.</w:t>
            </w:r>
          </w:p>
          <w:p>
            <w:pPr>
              <w:spacing w:after="110"/>
            </w:pPr>
          </w:p>
          <w:tbl>
            <w:tblPr>
              <w:tblW w:type="dxa" w:w="712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420"/>
              <w:gridCol w:w="1700"/>
            </w:tblGrid>
            <w:tr>
              <w:tc>
                <w:tcPr>
                  <w:tcW w:type="dxa" w:w="542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E2320"/>
                      <w:sz w:val="20"/>
                      <w:szCs w:val="20"/>
                    </w:rPr>
                    <w:t xml:space="preserve">Cashier &amp; Floor Associate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AA9D99"/>
                      <w:sz w:val="17"/>
                      <w:szCs w:val="17"/>
                    </w:rPr>
                    <w:t xml:space="preserve">2018 – 2020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7A2230"/>
                <w:sz w:val="18"/>
                <w:szCs w:val="18"/>
              </w:rPr>
              <w:t xml:space="preserve">Target — Phoenix, AZ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4C3E3A"/>
                <w:sz w:val="19"/>
                <w:szCs w:val="19"/>
              </w:rPr>
              <w:t xml:space="preserve">Handled high-volume checkout and restocking while keeping a friendly, fast pace.</w:t>
            </w:r>
          </w:p>
          <w:p>
            <w:pPr>
              <w:spacing w:after="60"/>
            </w:pPr>
          </w:p>
          <w:p>
            <w:pPr>
              <w:spacing w:after="90" w:before="60"/>
            </w:pPr>
            <w:r>
              <w:rPr>
                <w:rFonts w:ascii="Calibri" w:cs="Calibri" w:eastAsia="Calibri" w:hAnsi="Calibri"/>
                <w:b/>
                <w:bCs/>
                <w:color w:val="7A2230"/>
                <w:spacing w:val="24"/>
                <w:sz w:val="17"/>
                <w:szCs w:val="17"/>
              </w:rPr>
              <w:t xml:space="preserve">EDUCATION &amp; RECOGNITION</w:t>
            </w:r>
          </w:p>
          <w:p>
            <w:pPr>
              <w:spacing w:after="8"/>
            </w:pPr>
            <w:r>
              <w:rPr>
                <w:rFonts w:ascii="Calibri" w:cs="Calibri" w:eastAsia="Calibri" w:hAnsi="Calibri"/>
                <w:b/>
                <w:bCs/>
                <w:color w:val="2E2320"/>
                <w:sz w:val="19"/>
                <w:szCs w:val="19"/>
              </w:rPr>
              <w:t xml:space="preserve">High School Diploma</w:t>
            </w:r>
            <w:r>
              <w:rPr>
                <w:rFonts w:ascii="Calibri" w:cs="Calibri" w:eastAsia="Calibri" w:hAnsi="Calibri"/>
                <w:color w:val="857772"/>
                <w:sz w:val="17"/>
                <w:szCs w:val="17"/>
              </w:rPr>
              <w:br/>
              <w:t xml:space="preserve">Central High School, Phoenix, AZ</w:t>
            </w:r>
          </w:p>
          <w:p>
            <w:r>
              <w:rPr>
                <w:rFonts w:ascii="Calibri" w:cs="Calibri" w:eastAsia="Calibri" w:hAnsi="Calibri"/>
                <w:color w:val="4C3E3A"/>
                <w:sz w:val="18"/>
                <w:szCs w:val="18"/>
              </w:rPr>
              <w:t xml:space="preserve">Nordstrom “All-Star” Award (2024) · Employee of the Month ×7</w:t>
            </w:r>
          </w:p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4C3E3A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kk96e90pnsx9f9usx-fgx" Type="http://schemas.openxmlformats.org/officeDocument/2006/relationships/hyperlink" Target="mailto:jordan.rivera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2026-06-18T18:44:01.377Z</dcterms:created>
  <dcterms:modified xsi:type="dcterms:W3CDTF">2026-06-18T18:44:01.377Z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