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20"/>
        <w:gridCol w:w="8220"/>
      </w:tblGrid>
      <w:tr>
        <w:trPr>
          <w:trHeight w:val="14600" w:hRule="atLeast"/>
        </w:trPr>
        <w:tc>
          <w:tcPr>
            <w:tcW w:type="dxa" w:w="4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C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Jordan Rivera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b/>
                <w:bCs/>
                <w:color w:val="A9C0DC"/>
                <w:spacing w:val="16"/>
                <w:sz w:val="17"/>
                <w:szCs w:val="17"/>
              </w:rPr>
              <w:t xml:space="preserve">RETAIL SALES ASSOCIATE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CE7F2"/>
                <w:sz w:val="17"/>
                <w:szCs w:val="17"/>
              </w:rPr>
              <w:t xml:space="preserve">Phoenix, AZ</w:t>
            </w:r>
            <w:r>
              <w:rPr>
                <w:rFonts w:ascii="Calibri" w:cs="Calibri" w:eastAsia="Calibri" w:hAnsi="Calibri"/>
                <w:color w:val="DCE7F2"/>
                <w:sz w:val="17"/>
                <w:szCs w:val="17"/>
              </w:rPr>
              <w:br/>
              <w:t xml:space="preserve">(602)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5mcatzr6k2boch0ec_xj">
              <w:r>
                <w:rPr>
                  <w:rFonts w:ascii="Calibri" w:cs="Calibri" w:eastAsia="Calibri" w:hAnsi="Calibri"/>
                  <w:color w:val="DCE7F2"/>
                  <w:sz w:val="17"/>
                  <w:szCs w:val="17"/>
                  <w:u w:val="single"/>
                </w:rPr>
                <w:t xml:space="preserve">jordan.rivera@email.com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A9C0DC"/>
                <w:spacing w:val="18"/>
                <w:sz w:val="17"/>
                <w:szCs w:val="17"/>
              </w:rPr>
              <w:t xml:space="preserve">HIGHLIGHTS</w:t>
            </w:r>
          </w:p>
          <w:p>
            <w:pPr>
              <w:shd w:fill="2C4A6E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128%</w:t>
            </w:r>
            <w:r>
              <w:rPr>
                <w:rFonts w:ascii="Calibri" w:cs="Calibri" w:eastAsia="Calibri" w:hAnsi="Calibri"/>
                <w:color w:val="A9C0DC"/>
                <w:spacing w:val="4"/>
                <w:sz w:val="12"/>
                <w:szCs w:val="12"/>
              </w:rPr>
              <w:br/>
              <w:t xml:space="preserve">  AVG. SALES GOAL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2C4A6E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31%</w:t>
            </w:r>
            <w:r>
              <w:rPr>
                <w:rFonts w:ascii="Calibri" w:cs="Calibri" w:eastAsia="Calibri" w:hAnsi="Calibri"/>
                <w:color w:val="A9C0DC"/>
                <w:spacing w:val="4"/>
                <w:sz w:val="12"/>
                <w:szCs w:val="12"/>
              </w:rPr>
              <w:br/>
              <w:t xml:space="preserve">  CONVERSION RATE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2C4A6E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$118</w:t>
            </w:r>
            <w:r>
              <w:rPr>
                <w:rFonts w:ascii="Calibri" w:cs="Calibri" w:eastAsia="Calibri" w:hAnsi="Calibri"/>
                <w:color w:val="A9C0DC"/>
                <w:spacing w:val="4"/>
                <w:sz w:val="12"/>
                <w:szCs w:val="12"/>
              </w:rPr>
              <w:br/>
              <w:t xml:space="preserve">  AVG. TRANSACTION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2C4A6E" w:color="auto" w:val="clear"/>
              <w:spacing w:after="15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#1</w:t>
            </w:r>
            <w:r>
              <w:rPr>
                <w:rFonts w:ascii="Calibri" w:cs="Calibri" w:eastAsia="Calibri" w:hAnsi="Calibri"/>
                <w:color w:val="A9C0DC"/>
                <w:spacing w:val="4"/>
                <w:sz w:val="12"/>
                <w:szCs w:val="12"/>
              </w:rPr>
              <w:br/>
              <w:t xml:space="preserve">  LOYALTY SIGN-UPS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A9C0DC"/>
                <w:spacing w:val="18"/>
                <w:sz w:val="17"/>
                <w:szCs w:val="17"/>
              </w:rPr>
              <w:t xml:space="preserve">STRENGTHS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CE7F2"/>
                <w:sz w:val="18"/>
                <w:szCs w:val="18"/>
              </w:rPr>
              <w:t xml:space="preserve">Upselling &amp; Add-ons · Customer Service · POS &amp; Cash Handling · Visual Merchandising · Product Knowledge · Clienteling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A9C0DC"/>
                <w:spacing w:val="18"/>
                <w:sz w:val="17"/>
                <w:szCs w:val="17"/>
              </w:rPr>
              <w:t xml:space="preserve">LANGUAGES</w:t>
            </w:r>
          </w:p>
          <w:p>
            <w:r>
              <w:rPr>
                <w:rFonts w:ascii="Calibri" w:cs="Calibri" w:eastAsia="Calibri" w:hAnsi="Calibri"/>
                <w:color w:val="DCE7F2"/>
                <w:sz w:val="18"/>
                <w:szCs w:val="18"/>
              </w:rPr>
              <w:t xml:space="preserve">English · Spanish (fluent)</w:t>
            </w:r>
          </w:p>
        </w:tc>
        <w:tc>
          <w:tcPr>
            <w:tcW w:type="dxa" w:w="8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4C3E3A"/>
                <w:sz w:val="20"/>
                <w:szCs w:val="20"/>
              </w:rPr>
              <w:t xml:space="preserve">Friendly, goal-crushing retail associate who turns browsers into loyal customers. I read what people need, recommend with genuine product knowledge, and beat sales targets while keeping the floor and experience exceptional. Reliable, upbeat, and a natural at the close.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1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20"/>
              <w:gridCol w:w="1700"/>
            </w:tblGrid>
            <w:tr>
              <w:tc>
                <w:tcPr>
                  <w:tcW w:type="dxa" w:w="5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2320"/>
                      <w:sz w:val="20"/>
                      <w:szCs w:val="20"/>
                    </w:rPr>
                    <w:t xml:space="preserve">Sales Associate · Top Performer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A9D99"/>
                      <w:sz w:val="17"/>
                      <w:szCs w:val="17"/>
                    </w:rPr>
                    <w:t xml:space="preserve">2022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18"/>
                <w:szCs w:val="18"/>
              </w:rPr>
              <w:t xml:space="preserve">Nordstrom — Scottsdale,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Average 128% of monthly sales goal; named store Top Performer six months running.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Drive a 31% conversion rate and a $118 average transaction through attentive upselling and add-ons.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Lead the store in loyalty-program sign-ups, enrolling 40+ members a month.</w:t>
            </w:r>
          </w:p>
          <w:p>
            <w:pPr>
              <w:spacing w:after="110"/>
            </w:pPr>
          </w:p>
          <w:tbl>
            <w:tblPr>
              <w:tblW w:type="dxa" w:w="71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20"/>
              <w:gridCol w:w="1700"/>
            </w:tblGrid>
            <w:tr>
              <w:tc>
                <w:tcPr>
                  <w:tcW w:type="dxa" w:w="5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2320"/>
                      <w:sz w:val="20"/>
                      <w:szCs w:val="20"/>
                    </w:rPr>
                    <w:t xml:space="preserve">Retail Sales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A9D99"/>
                      <w:sz w:val="17"/>
                      <w:szCs w:val="17"/>
                    </w:rPr>
                    <w:t xml:space="preserve">2020 – 2022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18"/>
                <w:szCs w:val="18"/>
              </w:rPr>
              <w:t xml:space="preserve">Best Buy — Phoenix,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Sold electronics and protection plans, consistently exceeding attach-rate targets by 20%.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Earned top customer-satisfaction scores in the department four quarters in a row.</w:t>
            </w:r>
          </w:p>
          <w:p>
            <w:pPr>
              <w:spacing w:after="110"/>
            </w:pPr>
          </w:p>
          <w:tbl>
            <w:tblPr>
              <w:tblW w:type="dxa" w:w="71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20"/>
              <w:gridCol w:w="1700"/>
            </w:tblGrid>
            <w:tr>
              <w:tc>
                <w:tcPr>
                  <w:tcW w:type="dxa" w:w="5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2320"/>
                      <w:sz w:val="20"/>
                      <w:szCs w:val="20"/>
                    </w:rPr>
                    <w:t xml:space="preserve">Cashier &amp; Floor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A9D99"/>
                      <w:sz w:val="17"/>
                      <w:szCs w:val="17"/>
                    </w:rPr>
                    <w:t xml:space="preserve">2018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18"/>
                <w:szCs w:val="18"/>
              </w:rPr>
              <w:t xml:space="preserve">Target — Phoenix,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3E3A"/>
                <w:sz w:val="19"/>
                <w:szCs w:val="19"/>
              </w:rPr>
              <w:t xml:space="preserve">Handled high-volume checkout and restocking while keeping a friendly, fast pace.</w:t>
            </w:r>
          </w:p>
          <w:p>
            <w:pPr>
              <w:spacing w:after="60"/>
            </w:pP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24"/>
                <w:sz w:val="17"/>
                <w:szCs w:val="17"/>
              </w:rPr>
              <w:t xml:space="preserve">EDUCATION &amp; RECOGNITION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2E2320"/>
                <w:sz w:val="19"/>
                <w:szCs w:val="19"/>
              </w:rPr>
              <w:t xml:space="preserve">High School Diploma</w:t>
            </w:r>
            <w:r>
              <w:rPr>
                <w:rFonts w:ascii="Calibri" w:cs="Calibri" w:eastAsia="Calibri" w:hAnsi="Calibri"/>
                <w:color w:val="857772"/>
                <w:sz w:val="17"/>
                <w:szCs w:val="17"/>
              </w:rPr>
              <w:br/>
              <w:t xml:space="preserve">Central High School, Phoenix, AZ</w:t>
            </w:r>
          </w:p>
          <w:p>
            <w:r>
              <w:rPr>
                <w:rFonts w:ascii="Calibri" w:cs="Calibri" w:eastAsia="Calibri" w:hAnsi="Calibri"/>
                <w:color w:val="4C3E3A"/>
                <w:sz w:val="18"/>
                <w:szCs w:val="18"/>
              </w:rPr>
              <w:t xml:space="preserve">Nordstrom “All-Star” Award (2024) · Employee of the Month ×7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C3E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5mcatzr6k2boch0ec_xj" Type="http://schemas.openxmlformats.org/officeDocument/2006/relationships/hyperlink" Target="mailto:jordan.river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2026-06-18T18:44:01.388Z</dcterms:created>
  <dcterms:modified xsi:type="dcterms:W3CDTF">2026-06-18T18:44:01.388Z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