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2203A"/>
                <w:sz w:val="60"/>
                <w:szCs w:val="60"/>
              </w:rPr>
              <w:t xml:space="preserve">Gregory Hale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2563EB"/>
                <w:spacing w:val="14"/>
                <w:sz w:val="18"/>
                <w:szCs w:val="18"/>
              </w:rPr>
              <w:t xml:space="preserve">ENTERPRISE AGILE COACH · CSP-SM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(303)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k-np744ysgfa7xv-dq7g">
              <w:r>
                <w:rPr>
                  <w:rFonts w:ascii="Calibri" w:cs="Calibri" w:eastAsia="Calibri" w:hAnsi="Calibri"/>
                  <w:color w:val="69728A"/>
                  <w:sz w:val="17"/>
                  <w:szCs w:val="17"/>
                </w:rPr>
                <w:t xml:space="preserve">gregory.hale@email.com</w:t>
              </w:r>
            </w:hyperlink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in/gregoryhale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D5E2FB" w:sz="4"/>
          <w:left w:val="single" w:color="D5E2FB" w:sz="4"/>
          <w:bottom w:val="single" w:color="D5E2FB" w:sz="4"/>
          <w:right w:val="single" w:color="D5E2FB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EF3FE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17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D4FB8"/>
                <w:spacing w:val="8"/>
                <w:sz w:val="15"/>
                <w:szCs w:val="15"/>
              </w:rPr>
              <w:t xml:space="preserve">THE SPRINT CADENCE I COACH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5"/>
              <w:gridCol w:w="200"/>
              <w:gridCol w:w="2235"/>
              <w:gridCol w:w="200"/>
              <w:gridCol w:w="2235"/>
              <w:gridCol w:w="200"/>
              <w:gridCol w:w="2235"/>
              <w:gridCol w:w="900"/>
            </w:tblGrid>
            <w:tr>
              <w:tc>
                <w:tcPr>
                  <w:tcW w:type="dxa" w:w="2235"/>
                  <w:tcBorders>
                    <w:top w:val="single" w:color="2563EB" w:sz="8"/>
                    <w:left w:val="single" w:color="2563EB" w:sz="8"/>
                    <w:bottom w:val="single" w:color="2563EB" w:sz="8"/>
                    <w:right w:val="single" w:color="2563EB" w:sz="8"/>
                  </w:tcBorders>
                  <w:shd w:fill="2563EB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7"/>
                      <w:szCs w:val="17"/>
                    </w:rPr>
                    <w:t xml:space="preserve">Sprint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17"/>
                      <w:szCs w:val="17"/>
                    </w:rPr>
                    <w:t xml:space="preserve">Planning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B9BF0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C0D4F7" w:sz="8"/>
                    <w:left w:val="single" w:color="C0D4F7" w:sz="8"/>
                    <w:bottom w:val="single" w:color="C0D4F7" w:sz="8"/>
                    <w:right w:val="single" w:color="C0D4F7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B4A82"/>
                      <w:sz w:val="17"/>
                      <w:szCs w:val="17"/>
                    </w:rPr>
                    <w:t xml:space="preserve">Daily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B4A82"/>
                      <w:sz w:val="17"/>
                      <w:szCs w:val="17"/>
                    </w:rPr>
                    <w:t xml:space="preserve">Scrum ×N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B9BF0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C0D4F7" w:sz="8"/>
                    <w:left w:val="single" w:color="C0D4F7" w:sz="8"/>
                    <w:bottom w:val="single" w:color="C0D4F7" w:sz="8"/>
                    <w:right w:val="single" w:color="C0D4F7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B4A82"/>
                      <w:sz w:val="17"/>
                      <w:szCs w:val="17"/>
                    </w:rPr>
                    <w:t xml:space="preserve">Sprint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B4A82"/>
                      <w:sz w:val="17"/>
                      <w:szCs w:val="17"/>
                    </w:rPr>
                    <w:t xml:space="preserve">Review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B9BF0"/>
                      <w:sz w:val="23"/>
                      <w:szCs w:val="23"/>
                    </w:rPr>
                    <w:t xml:space="preserve">→</w:t>
                  </w:r>
                </w:p>
              </w:tc>
              <w:tc>
                <w:tcPr>
                  <w:tcW w:type="dxa" w:w="2235"/>
                  <w:tcBorders>
                    <w:top w:val="single" w:color="C0D4F7" w:sz="8"/>
                    <w:left w:val="single" w:color="C0D4F7" w:sz="8"/>
                    <w:bottom w:val="single" w:color="C0D4F7" w:sz="8"/>
                    <w:right w:val="single" w:color="C0D4F7" w:sz="8"/>
                  </w:tcBorders>
                  <w:shd w:fill="FFFFFF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B4A82"/>
                      <w:sz w:val="17"/>
                      <w:szCs w:val="17"/>
                    </w:rPr>
                    <w:t xml:space="preserve">Retro-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B4A82"/>
                      <w:sz w:val="17"/>
                      <w:szCs w:val="17"/>
                    </w:rPr>
                    <w:t xml:space="preserve">spective</w:t>
                  </w:r>
                </w:p>
              </w:tc>
              <w:tc>
                <w:tcPr>
                  <w:tcW w:type="dxa" w:w="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563EB"/>
                      <w:sz w:val="29"/>
                      <w:szCs w:val="29"/>
                    </w:rPr>
                    <w:t xml:space="preserve">↺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563EB"/>
                      <w:spacing w:val="4"/>
                      <w:sz w:val="12"/>
                      <w:szCs w:val="12"/>
                    </w:rPr>
                    <w:t xml:space="preserve">REPEAT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20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Enterprise Agile coach who grows teams, Scrum Masters, and leaders. Twelve years embedding Agile ways of working across organizations — coaching the cadence, the mindset, and the metrics that make delivery flow. I meet teams where they are and leave them more capable than I found them.</w:t>
      </w:r>
    </w:p>
    <w:p>
      <w:pPr>
        <w:pBdr>
          <w:bottom w:val="single" w:color="2563EB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2203A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A"/>
                <w:sz w:val="20"/>
                <w:szCs w:val="20"/>
              </w:rPr>
              <w:t xml:space="preserve">Enterprise Agile Coach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Charles Schwab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12 teams and a community of Scrum Masters across a 200-person technology org.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an Agile transformation that cut lead time 45% and lifted team health scores org-wide.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Run training on Scrum, Kanban, and facilitation; mentor new Scrum Masters to autonomy.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A"/>
                <w:sz w:val="20"/>
                <w:szCs w:val="20"/>
              </w:rPr>
              <w:t xml:space="preserve">Agile Coach / Senior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Western Union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Coached multiple teams and rolled out consistent ceremonies and flow metrics.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Facilitated retrospectives and team-chartering that improved engagement.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A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CenturyLink — Denver, CO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Facilitated Scrum for delivery teams and championed Agile adoption.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6EBF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6EBF2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563EB"/>
                <w:spacing w:val="8"/>
                <w:sz w:val="15"/>
                <w:szCs w:val="15"/>
              </w:rPr>
              <w:t xml:space="preserve">COACHING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Scrum · Kanban · SAFe · Team Coaching · Facilitation · Liberating Structures · Metrics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563EB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2203A"/>
                <w:sz w:val="18"/>
                <w:szCs w:val="18"/>
              </w:rPr>
              <w:t xml:space="preserve">CSP-SM · PSM III · ICP-ACC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B.A. — Colorado State University</w:t>
            </w:r>
          </w:p>
        </w:tc>
      </w:tr>
    </w:tbl>
    <w:sectPr>
      <w:pgSz w:w="12240" w:h="15840" w:orient="portrait"/>
      <w:pgMar w:top="680" w:right="700" w:bottom="64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k-np744ysgfa7xv-dq7g" Type="http://schemas.openxmlformats.org/officeDocument/2006/relationships/hyperlink" Target="mailto:gregory.ha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2026-06-20T20:06:07.888Z</dcterms:created>
  <dcterms:modified xsi:type="dcterms:W3CDTF">2026-06-20T20:06:07.888Z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