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81"/>
        <w:gridCol w:w="3759"/>
      </w:tblGrid>
      <w:tr>
        <w:tc>
          <w:tcPr>
            <w:tcW w:type="dxa" w:w="66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2433"/>
                <w:sz w:val="50"/>
                <w:szCs w:val="50"/>
              </w:rPr>
              <w:t xml:space="preserve">David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858D6"/>
                <w:spacing w:val="18"/>
                <w:sz w:val="18"/>
                <w:szCs w:val="18"/>
              </w:rPr>
              <w:t xml:space="preserve">SENIOR BACKEND ENGINEER · DISTRIBUTED SYSTEMS</w:t>
            </w:r>
          </w:p>
        </w:tc>
        <w:tc>
          <w:tcPr>
            <w:tcW w:type="dxa" w:w="37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t xml:space="preserve">Austin, TX</w:t>
            </w: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(512)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haipuuqz1qgxuh_ta_ex">
              <w:r>
                <w:rPr>
                  <w:rFonts w:ascii="Consolas" w:cs="Consolas" w:eastAsia="Consolas" w:hAnsi="Consolas"/>
                  <w:color w:val="3858D6"/>
                  <w:sz w:val="17"/>
                  <w:szCs w:val="17"/>
                  <w:u w:val="single"/>
                </w:rPr>
                <w:t xml:space="preserve">d.okonkwo@email.com</w:t>
              </w:r>
            </w:hyperlink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github.com/dokonkwo</w:t>
            </w:r>
          </w:p>
        </w:tc>
      </w:tr>
    </w:tbl>
    <w:p>
      <w:pPr>
        <w:pBdr>
          <w:bottom w:val="single" w:color="E7E9EE" w:sz="12" w:space="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Senior backend engineer with 10 years designing high-throughput, fault-tolerant systems. I specialize in distributed services, data infrastructure, and the unglamorous reliability work that keeps platforms up — and I like turning vague scaling problems into boring, predictable ones.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140"/>
        <w:gridCol w:w="2505"/>
        <w:gridCol w:w="140"/>
        <w:gridCol w:w="2505"/>
        <w:gridCol w:w="140"/>
        <w:gridCol w:w="2505"/>
      </w:tblGrid>
      <w:tr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B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858D6"/>
                <w:sz w:val="26"/>
                <w:szCs w:val="26"/>
              </w:rPr>
              <w:t xml:space="preserve">2.5B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DAILY REQUESTS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B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858D6"/>
                <w:sz w:val="26"/>
                <w:szCs w:val="26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UPTIME SLA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B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858D6"/>
                <w:sz w:val="26"/>
                <w:szCs w:val="26"/>
              </w:rPr>
              <w:t xml:space="preserve">$1.8M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INFRA COST SAVED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B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858D6"/>
                <w:sz w:val="26"/>
                <w:szCs w:val="26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pBdr>
          <w:bottom w:val="single" w:color="DFE3EA" w:sz="8" w:space="3"/>
        </w:pBdr>
        <w:spacing w:after="90" w:before="300"/>
      </w:pPr>
      <w:r>
        <w:rPr>
          <w:rFonts w:ascii="Calibri" w:cs="Calibri" w:eastAsia="Calibri" w:hAnsi="Calibri"/>
          <w:b/>
          <w:bCs/>
          <w:color w:val="1B2433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433"/>
                <w:sz w:val="21"/>
                <w:szCs w:val="21"/>
              </w:rPr>
              <w:t xml:space="preserve">Staff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858D6"/>
          <w:sz w:val="19"/>
          <w:szCs w:val="19"/>
        </w:rPr>
        <w:t xml:space="preserve">Nimbus Data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Re-architected the ingestion pipeline (Kafka + Go) to handle 2.5B events/day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Led a sharding migration of a 40TB Postgres fleet with zero downtime, cutting query p99 by 70%.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Drove a cost-optimization effort across the platform that saved $1.8M/year in cloud spend.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433"/>
                <w:sz w:val="21"/>
                <w:szCs w:val="21"/>
              </w:rPr>
              <w:t xml:space="preserve">Senior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858D6"/>
          <w:sz w:val="19"/>
          <w:szCs w:val="19"/>
        </w:rPr>
        <w:t xml:space="preserve">Helix Payments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the idempotent payments ledger processing $400M/year with exactly-once guarantees.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Owned on-call and incident response; reduced Sev-1s 55% through better observability.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433"/>
                <w:sz w:val="21"/>
                <w:szCs w:val="21"/>
              </w:rPr>
              <w:t xml:space="preserve">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858D6"/>
          <w:sz w:val="19"/>
          <w:szCs w:val="19"/>
        </w:rPr>
        <w:t xml:space="preserve">Crestline Systems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Developed internal APIs and tooling for a logistics platform in Java and Python.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FE3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B2433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Languages: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Go, Java, Python, SQL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Systems: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Kafka, Redis, PostgreSQL, Cassandra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Infra: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AWS, Kubernetes, Terraform, gRPC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FE3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B2433"/>
                <w:spacing w:val="18"/>
                <w:sz w:val="18"/>
                <w:szCs w:val="18"/>
              </w:rPr>
              <w:t xml:space="preserve">EDUCATION &amp; CERTS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B.S. Computer Engineering — UT Austin · 2014</w:t>
            </w: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br/>
              <w:t xml:space="preserve">AWS Certified Solutions Architect — Professional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haipuuqz1qgxuh_ta_ex" Type="http://schemas.openxmlformats.org/officeDocument/2006/relationships/hyperlink" Target="mailto:d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2026-06-17T18:11:59.218Z</dcterms:created>
  <dcterms:modified xsi:type="dcterms:W3CDTF">2026-06-17T18:11:59.218Z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