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81"/>
        <w:gridCol w:w="3759"/>
      </w:tblGrid>
      <w:tr>
        <w:tc>
          <w:tcPr>
            <w:tcW w:type="dxa" w:w="66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50"/>
                <w:szCs w:val="50"/>
              </w:rPr>
              <w:t xml:space="preserve">David Okonkwo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34E68"/>
                <w:spacing w:val="18"/>
                <w:sz w:val="18"/>
                <w:szCs w:val="18"/>
              </w:rPr>
              <w:t xml:space="preserve">SENIOR BACKEND ENGINEER · DISTRIBUTED SYSTEMS</w:t>
            </w:r>
          </w:p>
        </w:tc>
        <w:tc>
          <w:tcPr>
            <w:tcW w:type="dxa" w:w="37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t xml:space="preserve">Austin, TX</w:t>
            </w:r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br/>
              <w:t xml:space="preserve">(512)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4ngjhijkw3bosyrmak13">
              <w:r>
                <w:rPr>
                  <w:rFonts w:ascii="Consolas" w:cs="Consolas" w:eastAsia="Consolas" w:hAnsi="Consolas"/>
                  <w:color w:val="334E68"/>
                  <w:sz w:val="17"/>
                  <w:szCs w:val="17"/>
                  <w:u w:val="single"/>
                </w:rPr>
                <w:t xml:space="preserve">d.okonkwo@email.com</w:t>
              </w:r>
            </w:hyperlink>
            <w:r>
              <w:rPr>
                <w:rFonts w:ascii="Consolas" w:cs="Consolas" w:eastAsia="Consolas" w:hAnsi="Consolas"/>
                <w:color w:val="5D6470"/>
                <w:sz w:val="17"/>
                <w:szCs w:val="17"/>
              </w:rPr>
              <w:br/>
              <w:t xml:space="preserve">github.com/dokonkwo</w:t>
            </w:r>
          </w:p>
        </w:tc>
      </w:tr>
    </w:tbl>
    <w:p>
      <w:pPr>
        <w:pBdr>
          <w:bottom w:val="single" w:color="E6E9ED" w:sz="12" w:space="6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170" w:before="200"/>
      </w:pPr>
      <w:r>
        <w:rPr>
          <w:rFonts w:ascii="Calibri" w:cs="Calibri" w:eastAsia="Calibri" w:hAnsi="Calibri"/>
          <w:color w:val="3A4150"/>
          <w:sz w:val="20"/>
          <w:szCs w:val="20"/>
        </w:rPr>
        <w:t xml:space="preserve">Senior backend engineer with 10 years designing high-throughput, fault-tolerant systems. I specialize in distributed services, data infrastructure, and the unglamorous reliability work that keeps platforms up — and I like turning vague scaling problems into boring, predictable ones.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05"/>
        <w:gridCol w:w="140"/>
        <w:gridCol w:w="2505"/>
        <w:gridCol w:w="140"/>
        <w:gridCol w:w="2505"/>
        <w:gridCol w:w="140"/>
        <w:gridCol w:w="2505"/>
      </w:tblGrid>
      <w:tr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5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34E68"/>
                <w:sz w:val="26"/>
                <w:szCs w:val="26"/>
              </w:rPr>
              <w:t xml:space="preserve">2.5B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DAILY REQUESTS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5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34E68"/>
                <w:sz w:val="26"/>
                <w:szCs w:val="26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UPTIME SLA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5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34E68"/>
                <w:sz w:val="26"/>
                <w:szCs w:val="26"/>
              </w:rPr>
              <w:t xml:space="preserve">$1.8M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INFRA COST SAVED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5" w:color="auto" w:val="clear"/>
            <w:tcMar>
              <w:top w:type="dxa" w:w="170"/>
              <w:left w:type="dxa" w:w="50"/>
              <w:bottom w:type="dxa" w:w="170"/>
              <w:right w:type="dxa" w:w="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34E68"/>
                <w:sz w:val="26"/>
                <w:szCs w:val="26"/>
              </w:rPr>
              <w:t xml:space="preserve">10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728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pBdr>
          <w:bottom w:val="single" w:color="DEE3EA" w:sz="8" w:space="3"/>
        </w:pBdr>
        <w:spacing w:after="90" w:before="300"/>
      </w:pPr>
      <w:r>
        <w:rPr>
          <w:rFonts w:ascii="Calibri" w:cs="Calibri" w:eastAsia="Calibri" w:hAnsi="Calibri"/>
          <w:b/>
          <w:bCs/>
          <w:color w:val="1E293B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1"/>
                <w:szCs w:val="21"/>
              </w:rPr>
              <w:t xml:space="preserve">Staff 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4E68"/>
          <w:sz w:val="19"/>
          <w:szCs w:val="19"/>
        </w:rPr>
        <w:t xml:space="preserve">Nimbus Data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Re-architected the ingestion pipeline (Kafka + Go) to handle 2.5B events/day at 99.99% uptime.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Led a sharding migration of a 40TB Postgres fleet with zero downtime, cutting query p99 by 70%.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Drove a cost-optimization effort across the platform that saved $1.8M/year in cloud spend.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1"/>
                <w:szCs w:val="21"/>
              </w:rPr>
              <w:t xml:space="preserve">Senior 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4E68"/>
          <w:sz w:val="19"/>
          <w:szCs w:val="19"/>
        </w:rPr>
        <w:t xml:space="preserve">Helix Payments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Built the idempotent payments ledger processing $400M/year with exactly-once guarantees.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Owned on-call and incident response; reduced Sev-1s 55% through better observability.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1"/>
                <w:szCs w:val="21"/>
              </w:rPr>
              <w:t xml:space="preserve">Software Engineer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4E68"/>
          <w:sz w:val="19"/>
          <w:szCs w:val="19"/>
        </w:rPr>
        <w:t xml:space="preserve">Crestline Systems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Developed internal APIs and tooling for a logistics platform in Java and Python.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EE3E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E293B"/>
                <w:spacing w:val="18"/>
                <w:sz w:val="18"/>
                <w:szCs w:val="18"/>
              </w:rPr>
              <w:t xml:space="preserve">TECHNICAL 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Languages: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Go, Java, Python, SQL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Systems: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Kafka, Redis, PostgreSQL, Cassandra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3A4150"/>
                <w:sz w:val="19"/>
                <w:szCs w:val="19"/>
              </w:rPr>
              <w:t xml:space="preserve">Infra: </w:t>
            </w: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AWS, Kubernetes, Terraform, gRPC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EE3E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E293B"/>
                <w:spacing w:val="18"/>
                <w:sz w:val="18"/>
                <w:szCs w:val="18"/>
              </w:rPr>
              <w:t xml:space="preserve">EDUCATION &amp; CERTS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t xml:space="preserve">B.S. Computer Engineering — UT Austin · 2014</w:t>
            </w:r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br/>
              <w:t xml:space="preserve">AWS Certified Solutions Architect — Professional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4ngjhijkw3bosyrmak13" Type="http://schemas.openxmlformats.org/officeDocument/2006/relationships/hyperlink" Target="mailto:d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2026-06-17T18:11:59.230Z</dcterms:created>
  <dcterms:modified xsi:type="dcterms:W3CDTF">2026-06-17T18:11:59.230Z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