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320"/>
        <w:gridCol w:w="3400"/>
      </w:tblGrid>
      <w:tr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36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0"/>
                <w:sz w:val="15"/>
                <w:szCs w:val="15"/>
              </w:rPr>
              <w:t xml:space="preserve">SUBSTITUTE TEACHER · GRADES K–12</w:t>
            </w:r>
          </w:p>
          <w:p>
            <w:r>
              <w:rPr>
                <w:rFonts w:ascii="Georgia" w:cs="Georgia" w:eastAsia="Georgia" w:hAnsi="Georgia"/>
                <w:color w:val="133430"/>
                <w:sz w:val="50"/>
                <w:szCs w:val="50"/>
              </w:rPr>
              <w:t xml:space="preserve">Rachel Greene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65" w:lineRule="atLeast"/>
              <w:jc w:val="right"/>
            </w:pP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Portland, OR 97204</w:t>
            </w: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br/>
              <w:t xml:space="preserve">(503)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9in_hatmptupsaxlvlxjy">
              <w:r>
                <w:rPr>
                  <w:rFonts w:ascii="Calibri" w:cs="Calibri" w:eastAsia="Calibri" w:hAnsi="Calibri"/>
                  <w:color w:val="1C857C"/>
                  <w:sz w:val="16"/>
                  <w:szCs w:val="16"/>
                  <w:u w:val="single"/>
                </w:rPr>
                <w:t xml:space="preserve">rachel.greene@email.com</w:t>
              </w:r>
            </w:hyperlink>
          </w:p>
        </w:tc>
      </w:tr>
    </w:tbl>
    <w:p>
      <w:pPr>
        <w:spacing w:after="140"/>
      </w:pPr>
    </w:p>
    <w:tbl>
      <w:tblPr>
        <w:tblW w:type="dxa" w:w="10720"/>
        <w:tblBorders>
          <w:top w:val="single" w:color="CFE6E2" w:sz="6"/>
          <w:left w:val="none"/>
          <w:bottom w:val="single" w:color="CFE6E2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Licensed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OR SUBSTITUTE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K–12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ALL GRADE BANDS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600+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DAYS SUBBED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16"/>
            </w:pPr>
            <w:r>
              <w:rPr>
                <w:rFonts w:ascii="Georgia" w:cs="Georgia" w:eastAsia="Georgia" w:hAnsi="Georgia"/>
                <w:b/>
                <w:bCs/>
                <w:color w:val="1C857C"/>
                <w:sz w:val="26"/>
                <w:szCs w:val="26"/>
              </w:rPr>
              <w:t xml:space="preserve">5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6E8F8A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70" w:before="120"/>
      </w:pPr>
      <w:r>
        <w:rPr>
          <w:rFonts w:ascii="Calibri" w:cs="Calibri" w:eastAsia="Calibri" w:hAnsi="Calibri"/>
          <w:color w:val="344A46"/>
          <w:sz w:val="20"/>
          <w:szCs w:val="20"/>
        </w:rPr>
        <w:t xml:space="preserve">Reliable, adaptable substitute teacher who keeps any classroom on track. Five years stepping into K–12 rooms across subjects — following lesson plans, managing behavior, and creating a calm, productive day for students and a smooth return for the teacher. The sub schools call first.</w:t>
      </w:r>
    </w:p>
    <w:p>
      <w:pPr>
        <w:spacing w:after="140" w:before="0"/>
      </w:pPr>
      <w:r>
        <w:rPr>
          <w:rFonts w:ascii="Georgia" w:cs="Georgia" w:eastAsia="Georgia" w:hAnsi="Georgia"/>
          <w:color w:val="1C857C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Substitute Teacher (K–12)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Portland Public Schools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Sub across elementary, middle, and high school; deliver lesson plans and keep learning on track.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Maintain classroom management and routines; rated a "preferred sub" by 15+ teachers.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Pick up long-term assignments, including a 6-week maternity-leave coverage in 7th-grade ELA.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Substitute Teacher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2020 — 2021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Beaverton School District — Beaverton,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Covered classrooms across all subjects and grade levels on short notice.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Adapted quickly to each school's routines, tech, and behavior systems.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3430"/>
                <w:sz w:val="20"/>
                <w:szCs w:val="20"/>
              </w:rPr>
              <w:t xml:space="preserve">Instructional Aide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F8A"/>
                <w:sz w:val="17"/>
                <w:szCs w:val="17"/>
              </w:rPr>
              <w:t xml:space="preserve">2019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C857C"/>
          <w:sz w:val="18"/>
          <w:szCs w:val="18"/>
        </w:rPr>
        <w:t xml:space="preserve">David Douglas SD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Supported teachers with small groups and supervision; moved into substitute teaching.</w:t>
      </w:r>
    </w:p>
    <w:p>
      <w:pPr>
        <w:spacing w:after="80"/>
      </w:pPr>
    </w:p>
    <w:tbl>
      <w:tblPr>
        <w:tblW w:type="dxa" w:w="10720"/>
        <w:tblBorders>
          <w:top w:val="single" w:color="CF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Classroom Management · Adaptability · Following Lesson Plans · All Subjects · Tech (Chromebook) · Reliability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C857C"/>
                <w:spacing w:val="12"/>
                <w:sz w:val="16"/>
                <w:szCs w:val="16"/>
              </w:rPr>
              <w:t xml:space="preserve">LICENSE &amp; EDUCATION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B.A., History · OR Substitute License · Available full-time, all districts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in_hatmptupsaxlvlxjy" Type="http://schemas.openxmlformats.org/officeDocument/2006/relationships/hyperlink" Target="mailto:rachel.green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2026-06-23T16:45:14.576Z</dcterms:created>
  <dcterms:modified xsi:type="dcterms:W3CDTF">2026-06-23T16:45:14.576Z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