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0"/>
        <w:tblBorders>
          <w:top w:val="none"/>
          <w:left w:val="none"/>
          <w:bottom w:val="single" w:color="0E6E7A" w:sz="18"/>
          <w:right w:val="none"/>
          <w:insideH w:val="none"/>
          <w:insideV w:val="none"/>
        </w:tblBorders>
        <w:tblLayout w:type="fixed"/>
      </w:tblPr>
      <w:tblGrid>
        <w:gridCol w:w="6600"/>
        <w:gridCol w:w="44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142E25"/>
                <w:spacing w:val="2"/>
                <w:sz w:val="60"/>
                <w:szCs w:val="60"/>
              </w:rPr>
              <w:t xml:space="preserve">Tanya Williams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6"/>
                <w:sz w:val="20"/>
                <w:szCs w:val="20"/>
              </w:rPr>
              <w:t xml:space="preserve">Shipping &amp; Receiving Clerk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Columbus, OH 43219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(614)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8p30tvdleh2n206q-pns">
              <w:r>
                <w:rPr>
                  <w:rFonts w:ascii="Calibri" w:cs="Calibri" w:eastAsia="Calibri" w:hAnsi="Calibri"/>
                  <w:color w:val="0E6E7A"/>
                  <w:sz w:val="17"/>
                  <w:szCs w:val="17"/>
                  <w:u w:val="single"/>
                </w:rPr>
                <w:t xml:space="preserve">t.williams@email.com</w:t>
              </w:r>
            </w:hyperlink>
          </w:p>
        </w:tc>
      </w:tr>
    </w:tbl>
    <w:p>
      <w:pPr>
        <w:spacing w:after="18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50"/>
        <w:gridCol w:w="2750"/>
        <w:gridCol w:w="2750"/>
        <w:gridCol w:w="2750"/>
      </w:tblGrid>
      <w:tr>
        <w:tc>
          <w:tcPr>
            <w:tcW w:type="dxa" w:w="2750"/>
            <w:tcBorders>
              <w:top w:val="none" w:color="FFFFFF" w:sz="0"/>
              <w:left w:val="none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z w:val="42"/>
                <w:szCs w:val="42"/>
              </w:rPr>
              <w:t xml:space="preserve">99.8%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INVENTORY ACCURACY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z w:val="42"/>
                <w:szCs w:val="42"/>
              </w:rPr>
              <w:t xml:space="preserve">350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ORDERS / DAY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z w:val="42"/>
                <w:szCs w:val="42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MIS-SHIPS / QTR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z w:val="42"/>
                <w:szCs w:val="42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Detail-driven shipping and receiving clerk who keeps inventory accurate and orders out the door on time. 7 years processing inbound and outbound freight, running cycle counts, and managing paperwork and WMS records. The person who catches the discrepancy before it becomes a problem.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80"/>
        <w:gridCol w:w="392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30" w:before="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Shipping &amp; Receiving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6E7A"/>
                <w:sz w:val="18"/>
                <w:szCs w:val="18"/>
              </w:rPr>
              <w:t xml:space="preserve">Cardinal Health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Process 350+ inbound and outbound orders daily in SAP WMS at 99.8%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Verify counts, inspect for damage, and reconcile packing slips against POs.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Run weekly cycle counts that cut inventory variance to under 0.2%.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Inventory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6E7A"/>
                <w:sz w:val="18"/>
                <w:szCs w:val="18"/>
              </w:rPr>
              <w:t xml:space="preserve">Big Lots Distribution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Maintained inventory records and resolved discrepancies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Prepared BOLs and coordinated carrier pickups.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Warehouse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6E7A"/>
                <w:sz w:val="18"/>
                <w:szCs w:val="18"/>
              </w:rPr>
              <w:t xml:space="preserve">DHL Supply Chain — Groveport,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Received shipments, labeled product, and staged orders for outbound.</w:t>
            </w:r>
          </w:p>
          <w:p>
            <w:pPr>
              <w:spacing w:after="0"/>
            </w:pP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00" w:before="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SYSTEMS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0B5560"/>
                <w:sz w:val="17"/>
                <w:szCs w:val="17"/>
                <w:shd w:fill="E2F2F4" w:color="auto" w:val="clear"/>
              </w:rPr>
              <w:t xml:space="preserve"> SAP WMS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560"/>
                <w:sz w:val="17"/>
                <w:szCs w:val="17"/>
                <w:shd w:fill="E2F2F4" w:color="auto" w:val="clear"/>
              </w:rPr>
              <w:t xml:space="preserve"> Manhattan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560"/>
                <w:sz w:val="17"/>
                <w:szCs w:val="17"/>
                <w:shd w:fill="E2F2F4" w:color="auto" w:val="clear"/>
              </w:rPr>
              <w:t xml:space="preserve"> RF Scanner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560"/>
                <w:sz w:val="17"/>
                <w:szCs w:val="17"/>
                <w:shd w:fill="E2F2F4" w:color="auto" w:val="clear"/>
              </w:rPr>
              <w:t xml:space="preserve"> Excel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0B5560"/>
                <w:sz w:val="17"/>
                <w:szCs w:val="17"/>
                <w:shd w:fill="E2F2F4" w:color="auto" w:val="clear"/>
              </w:rPr>
              <w:t xml:space="preserve"> ShipStation 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Cycle Counting · Order Processing · BOL / Paperwork · Damage Inspection · Inbound/Outbound · Data Entry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Forklift Certified · OSHA 10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1st &amp; 2nd shift · Overtime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0E6E7A"/>
                <w:spacing w:val="20"/>
                <w:sz w:val="20"/>
                <w:szCs w:val="20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E25"/>
                <w:sz w:val="18"/>
                <w:szCs w:val="18"/>
              </w:rPr>
              <w:t xml:space="preserve">High School Diploma</w:t>
            </w:r>
          </w:p>
          <w:p>
            <w:r>
              <w:rPr>
                <w:rFonts w:ascii="Calibri" w:cs="Calibri" w:eastAsia="Calibri" w:hAnsi="Calibri"/>
                <w:color w:val="7C8C85"/>
                <w:sz w:val="17"/>
                <w:szCs w:val="17"/>
              </w:rPr>
              <w:t xml:space="preserve">Columbus East HS</w:t>
            </w:r>
          </w:p>
        </w:tc>
      </w:tr>
    </w:tbl>
    <w:sectPr>
      <w:pgSz w:w="12240" w:h="15840" w:orient="portrait"/>
      <w:pgMar w:top="560" w:right="620" w:bottom="56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8p30tvdleh2n206q-pns" Type="http://schemas.openxmlformats.org/officeDocument/2006/relationships/hyperlink" Target="mailto:t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2026-06-19T22:48:48.248Z</dcterms:created>
  <dcterms:modified xsi:type="dcterms:W3CDTF">2026-06-19T22:48:48.248Z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