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BABYSITTER / NANNY TIMESHEET</w:t>
      </w:r>
    </w:p>
    <w:p>
      <w:pPr>
        <w:spacing w:after="160"/>
      </w:pPr>
      <w:r>
        <w:rPr>
          <w:color w:val="64748B"/>
          <w:sz w:val="17"/>
        </w:rPr>
        <w:t>One row per day with a notes column. Live-out household employees earn overtime past 40 hours.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Sitter / nanny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Family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starting (Mon)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Hourly rate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Day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151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in</w:t>
            </w:r>
          </w:p>
        </w:tc>
        <w:tc>
          <w:tcPr>
            <w:tcW w:type="dxa" w:w="151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out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  <w:tc>
          <w:tcPr>
            <w:tcW w:type="dxa" w:w="403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633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Monday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33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Tuesday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33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Wednesday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33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Thursday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33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Friday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33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Saturday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33" w:hRule="atLeast"/>
        </w:trPr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Sunday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hours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Regular hours (max 40)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Overtime hours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GROSS PAY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Sitter / nanny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Parent / guardian signature / date</w:t>
            </w:r>
          </w:p>
        </w:tc>
      </w:tr>
    </w:tbl>
    <w:p>
      <w:pPr>
        <w:spacing w:before="160"/>
      </w:pPr>
      <w:r>
        <w:rPr>
          <w:color w:val="64748B"/>
          <w:sz w:val="16"/>
        </w:rPr>
        <w:t>Regular caregiver? Paying any household employee $3,000 or more in 2026 triggers Social Security and Medicare withholding (the “nanny tax”) — see IRS Publication 926.</w:t>
      </w:r>
    </w:p>
    <w:p>
      <w:pPr>
        <w:spacing w:before="200"/>
        <w:jc w:val="center"/>
      </w:pPr>
      <w:r>
        <w:rPr>
          <w:color w:val="64748B"/>
          <w:sz w:val="15"/>
        </w:rPr>
        <w:t>Free timesheet template from Apollo's Templates — www.apollostemplates.com/timesheets/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