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BIWEEKLY TIMESHEET</w:t>
      </w:r>
    </w:p>
    <w:p>
      <w:pPr>
        <w:spacing w:after="160"/>
      </w:pPr>
      <w:r>
        <w:rPr>
          <w:color w:val="64748B"/>
          <w:sz w:val="17"/>
        </w:rPr>
        <w:t>Two workweeks. Overtime counts past 40 hours within each week, not the pay period.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Company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Overtime rate (1.5×)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WEEK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Monday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Tuesday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Wednesday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Thursday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Friday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Saturday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Sunday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WEEK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Monday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Tuesday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Wednesday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Thursday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Friday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Saturday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Sunday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(both weeks)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 (both weeks)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