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DAILY TIMESHEET</w:t>
      </w:r>
    </w:p>
    <w:p>
      <w:pPr>
        <w:spacing w:after="160"/>
      </w:pPr>
      <w:r>
        <w:rPr>
          <w:color w:val="64748B"/>
          <w:sz w:val="17"/>
        </w:rPr>
        <w:t>One row per task or project. Subtract break minutes from each row's hours.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Employee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Manager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Hourly rate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31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Project / task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Start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End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Break (min)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259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89" w:hRule="atLeast"/>
        </w:trPr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89" w:hRule="atLeast"/>
        </w:trPr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89" w:hRule="atLeast"/>
        </w:trPr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89" w:hRule="atLeast"/>
        </w:trPr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89" w:hRule="atLeast"/>
        </w:trPr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89" w:hRule="atLeast"/>
        </w:trPr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89" w:hRule="atLeast"/>
        </w:trPr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89" w:hRule="atLeast"/>
        </w:trPr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89" w:hRule="atLeast"/>
        </w:trPr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89" w:hRule="atLeast"/>
        </w:trPr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89" w:hRule="atLeast"/>
        </w:trPr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89" w:hRule="atLeast"/>
        </w:trPr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89" w:hRule="atLeast"/>
        </w:trPr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89" w:hRule="atLeast"/>
        </w:trPr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5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GROSS PAY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Employee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Manager signature / date</w:t>
            </w:r>
          </w:p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timesheet template from Apollo's Templates — www.apollostemplates.com/timesheets/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