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SEMI-MONTHLY TIMESHEET</w:t>
      </w:r>
    </w:p>
    <w:p>
      <w:pPr>
        <w:spacing w:after="160"/>
      </w:pPr>
      <w:r>
        <w:rPr>
          <w:color w:val="64748B"/>
          <w:sz w:val="17"/>
        </w:rPr>
        <w:t>For 1st-15th / 16th-to-end pay periods. One line per day; total each half, then the period.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Manager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Hourly rate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before="120" w:after="40"/>
      </w:pPr>
      <w:r>
        <w:rPr>
          <w:b/>
          <w:color w:val="2B7FFF"/>
          <w:sz w:val="20"/>
        </w:rPr>
        <w:t>FIRST HALF — 1st through 15th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94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in</w:t>
            </w:r>
          </w:p>
        </w:tc>
        <w:tc>
          <w:tcPr>
            <w:tcW w:type="dxa" w:w="194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Lunch start</w:t>
            </w:r>
          </w:p>
        </w:tc>
        <w:tc>
          <w:tcPr>
            <w:tcW w:type="dxa" w:w="194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Lunch end</w:t>
            </w:r>
          </w:p>
        </w:tc>
        <w:tc>
          <w:tcPr>
            <w:tcW w:type="dxa" w:w="194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out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3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4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5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6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7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8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9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10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11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12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13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14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15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120" w:after="40"/>
      </w:pPr>
      <w:r>
        <w:rPr>
          <w:b/>
          <w:color w:val="2B7FFF"/>
          <w:sz w:val="20"/>
        </w:rPr>
        <w:t>SECOND HALF — 16th through month end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94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in</w:t>
            </w:r>
          </w:p>
        </w:tc>
        <w:tc>
          <w:tcPr>
            <w:tcW w:type="dxa" w:w="194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Lunch start</w:t>
            </w:r>
          </w:p>
        </w:tc>
        <w:tc>
          <w:tcPr>
            <w:tcW w:type="dxa" w:w="194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Lunch end</w:t>
            </w:r>
          </w:p>
        </w:tc>
        <w:tc>
          <w:tcPr>
            <w:tcW w:type="dxa" w:w="194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out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16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17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18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19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20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21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22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23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24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25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26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27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28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29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30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44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31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Period total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GROSS PAY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Manager signature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Semi-monthly periods cut through workweeks and the FLSA computes overtime per workweek — total hours here, and track any overtime on the weekly or biweekly sheet.</w:t>
      </w:r>
    </w:p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