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WEEKLY TIMESHEET</w:t>
      </w:r>
    </w:p>
    <w:p>
      <w:pPr>
        <w:spacing w:after="160"/>
      </w:pPr>
      <w:r>
        <w:rPr>
          <w:color w:val="64748B"/>
          <w:sz w:val="17"/>
        </w:rPr>
        <w:t>Simple in/out sheet — one line per day, no lunch columns.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Employee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  <w:gridCol w:w="2160"/>
      </w:tblGrid>
      <w:tr>
        <w:trPr>
          <w:trHeight w:val="374" w:hRule="atLeast"/>
        </w:trPr>
        <w:tc>
          <w:tcPr>
            <w:tcW w:type="dxa" w:w="244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7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201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62" w:hRule="atLeast"/>
        </w:trPr>
        <w:tc>
          <w:tcPr>
            <w:tcW w:type="dxa" w:w="244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7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1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Regular hours (max 40)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Overtime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GROSS PAY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Employee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Manager signature / date</w:t>
            </w:r>
          </w:p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